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84C" w:rsidRPr="00FF284C" w:rsidRDefault="00B8380A" w:rsidP="006C1B7E">
      <w:pPr>
        <w:rPr>
          <w:b/>
          <w:sz w:val="24"/>
        </w:rPr>
      </w:pPr>
      <w:r>
        <w:rPr>
          <w:b/>
          <w:sz w:val="24"/>
        </w:rPr>
        <w:t xml:space="preserve">Unpublished </w:t>
      </w:r>
      <w:r w:rsidR="00393A9F">
        <w:rPr>
          <w:b/>
          <w:sz w:val="24"/>
        </w:rPr>
        <w:t>Research Note</w:t>
      </w:r>
    </w:p>
    <w:p w:rsidR="00430794" w:rsidRDefault="00594FF2" w:rsidP="00914B09">
      <w:pPr>
        <w:spacing w:after="0" w:line="240" w:lineRule="auto"/>
        <w:jc w:val="center"/>
        <w:rPr>
          <w:b/>
          <w:sz w:val="24"/>
          <w:u w:val="single"/>
        </w:rPr>
      </w:pPr>
      <w:r>
        <w:rPr>
          <w:b/>
          <w:sz w:val="24"/>
          <w:u w:val="single"/>
        </w:rPr>
        <w:t xml:space="preserve">30 </w:t>
      </w:r>
      <w:r w:rsidR="00914B09">
        <w:rPr>
          <w:b/>
          <w:sz w:val="24"/>
          <w:u w:val="single"/>
        </w:rPr>
        <w:t>Y</w:t>
      </w:r>
      <w:r>
        <w:rPr>
          <w:b/>
          <w:sz w:val="24"/>
          <w:u w:val="single"/>
        </w:rPr>
        <w:t xml:space="preserve">ears </w:t>
      </w:r>
      <w:r w:rsidR="00914B09">
        <w:rPr>
          <w:b/>
          <w:sz w:val="24"/>
          <w:u w:val="single"/>
        </w:rPr>
        <w:t>O</w:t>
      </w:r>
      <w:r>
        <w:rPr>
          <w:b/>
          <w:sz w:val="24"/>
          <w:u w:val="single"/>
        </w:rPr>
        <w:t>n – What</w:t>
      </w:r>
      <w:r w:rsidR="000A58D2">
        <w:rPr>
          <w:b/>
          <w:sz w:val="24"/>
          <w:u w:val="single"/>
        </w:rPr>
        <w:t xml:space="preserve"> has</w:t>
      </w:r>
      <w:r>
        <w:rPr>
          <w:b/>
          <w:sz w:val="24"/>
          <w:u w:val="single"/>
        </w:rPr>
        <w:t xml:space="preserve"> </w:t>
      </w:r>
      <w:r w:rsidR="00914B09">
        <w:rPr>
          <w:b/>
          <w:sz w:val="24"/>
          <w:u w:val="single"/>
        </w:rPr>
        <w:t>changed in o</w:t>
      </w:r>
      <w:r>
        <w:rPr>
          <w:b/>
          <w:sz w:val="24"/>
          <w:u w:val="single"/>
        </w:rPr>
        <w:t xml:space="preserve">ffice </w:t>
      </w:r>
      <w:r w:rsidR="00914B09">
        <w:rPr>
          <w:b/>
          <w:sz w:val="24"/>
          <w:u w:val="single"/>
        </w:rPr>
        <w:t>c</w:t>
      </w:r>
      <w:r>
        <w:rPr>
          <w:b/>
          <w:sz w:val="24"/>
          <w:u w:val="single"/>
        </w:rPr>
        <w:t>ommunication?</w:t>
      </w:r>
    </w:p>
    <w:p w:rsidR="00524D6B" w:rsidRDefault="00524D6B" w:rsidP="00914B09">
      <w:pPr>
        <w:spacing w:after="0" w:line="240" w:lineRule="auto"/>
        <w:jc w:val="center"/>
        <w:rPr>
          <w:b/>
          <w:sz w:val="24"/>
          <w:u w:val="single"/>
        </w:rPr>
      </w:pPr>
    </w:p>
    <w:p w:rsidR="00FF284C" w:rsidRPr="00524D6B" w:rsidRDefault="00524D6B" w:rsidP="00FF284C">
      <w:pPr>
        <w:spacing w:after="0" w:line="240" w:lineRule="auto"/>
        <w:jc w:val="center"/>
        <w:rPr>
          <w:sz w:val="24"/>
        </w:rPr>
      </w:pPr>
      <w:r w:rsidRPr="00524D6B">
        <w:rPr>
          <w:sz w:val="24"/>
        </w:rPr>
        <w:t>by</w:t>
      </w:r>
    </w:p>
    <w:p w:rsidR="00524D6B" w:rsidRDefault="00524D6B" w:rsidP="00524D6B">
      <w:pPr>
        <w:spacing w:after="0" w:line="240" w:lineRule="auto"/>
        <w:jc w:val="center"/>
        <w:rPr>
          <w:b/>
          <w:sz w:val="24"/>
        </w:rPr>
      </w:pPr>
      <w:r w:rsidRPr="00FF284C">
        <w:rPr>
          <w:b/>
          <w:sz w:val="24"/>
        </w:rPr>
        <w:t>Thomas W</w:t>
      </w:r>
      <w:r>
        <w:rPr>
          <w:b/>
          <w:sz w:val="24"/>
        </w:rPr>
        <w:t>.</w:t>
      </w:r>
      <w:r w:rsidRPr="00FF284C">
        <w:rPr>
          <w:b/>
          <w:sz w:val="24"/>
        </w:rPr>
        <w:t xml:space="preserve"> Jackson</w:t>
      </w:r>
      <w:r>
        <w:rPr>
          <w:b/>
          <w:sz w:val="24"/>
        </w:rPr>
        <w:t>* and Paul Wilson**</w:t>
      </w:r>
    </w:p>
    <w:p w:rsidR="00524D6B" w:rsidRDefault="00524D6B" w:rsidP="00524D6B">
      <w:pPr>
        <w:spacing w:after="0" w:line="240" w:lineRule="auto"/>
        <w:jc w:val="center"/>
      </w:pPr>
      <w:r w:rsidRPr="00FF284C">
        <w:rPr>
          <w:bCs/>
          <w:sz w:val="20"/>
          <w:szCs w:val="20"/>
        </w:rPr>
        <w:t xml:space="preserve">*Department of Information Science, Loughborough University, Loughborough UK. </w:t>
      </w:r>
      <w:hyperlink r:id="rId7" w:history="1">
        <w:r w:rsidRPr="00FF284C">
          <w:rPr>
            <w:rStyle w:val="Hyperlink"/>
            <w:bCs/>
            <w:sz w:val="20"/>
            <w:szCs w:val="20"/>
          </w:rPr>
          <w:t>t.w.jackson@lboro.ac.uk</w:t>
        </w:r>
      </w:hyperlink>
    </w:p>
    <w:p w:rsidR="00524D6B" w:rsidRPr="00524D6B" w:rsidRDefault="00524D6B" w:rsidP="00524D6B">
      <w:pPr>
        <w:spacing w:after="0" w:line="240" w:lineRule="auto"/>
        <w:jc w:val="center"/>
        <w:rPr>
          <w:sz w:val="20"/>
          <w:szCs w:val="20"/>
        </w:rPr>
      </w:pPr>
      <w:r w:rsidRPr="00524D6B">
        <w:rPr>
          <w:sz w:val="20"/>
          <w:szCs w:val="20"/>
        </w:rPr>
        <w:t xml:space="preserve">** </w:t>
      </w:r>
      <w:hyperlink r:id="rId8" w:history="1">
        <w:r w:rsidR="00B8380A" w:rsidRPr="004B20BF">
          <w:rPr>
            <w:rStyle w:val="Hyperlink"/>
            <w:sz w:val="20"/>
            <w:szCs w:val="20"/>
          </w:rPr>
          <w:t>pwilsonofc@btinternet.com</w:t>
        </w:r>
      </w:hyperlink>
    </w:p>
    <w:p w:rsidR="00524D6B" w:rsidRPr="00FF284C" w:rsidRDefault="00524D6B" w:rsidP="00524D6B">
      <w:pPr>
        <w:spacing w:after="0" w:line="240" w:lineRule="auto"/>
        <w:jc w:val="center"/>
        <w:rPr>
          <w:bCs/>
          <w:sz w:val="20"/>
          <w:szCs w:val="20"/>
        </w:rPr>
      </w:pPr>
    </w:p>
    <w:p w:rsidR="00E52C16" w:rsidRDefault="00E52C16" w:rsidP="00480C83">
      <w:pPr>
        <w:spacing w:after="0" w:line="240" w:lineRule="auto"/>
        <w:rPr>
          <w:b/>
          <w:sz w:val="24"/>
          <w:u w:val="single"/>
        </w:rPr>
      </w:pPr>
    </w:p>
    <w:p w:rsidR="00480C83" w:rsidRDefault="00480C83" w:rsidP="00480C83">
      <w:pPr>
        <w:spacing w:after="0" w:line="240" w:lineRule="auto"/>
        <w:rPr>
          <w:b/>
          <w:sz w:val="24"/>
          <w:u w:val="single"/>
        </w:rPr>
      </w:pPr>
    </w:p>
    <w:p w:rsidR="00480C83" w:rsidRDefault="00480C83" w:rsidP="00480C83">
      <w:pPr>
        <w:spacing w:after="0" w:line="240" w:lineRule="auto"/>
        <w:rPr>
          <w:b/>
          <w:sz w:val="24"/>
          <w:u w:val="single"/>
        </w:rPr>
      </w:pPr>
    </w:p>
    <w:p w:rsidR="00B2570D" w:rsidRPr="00524D6B" w:rsidRDefault="0097576B" w:rsidP="00C6339A">
      <w:pPr>
        <w:rPr>
          <w:b/>
          <w:bCs/>
          <w:u w:val="single"/>
        </w:rPr>
      </w:pPr>
      <w:bookmarkStart w:id="0" w:name="_GoBack"/>
      <w:bookmarkEnd w:id="0"/>
      <w:r>
        <w:rPr>
          <w:b/>
          <w:bCs/>
          <w:u w:val="single"/>
        </w:rPr>
        <w:t>Abstract</w:t>
      </w:r>
    </w:p>
    <w:p w:rsidR="00B2570D" w:rsidRPr="00524D6B" w:rsidRDefault="0097576B" w:rsidP="00C6339A">
      <w:pPr>
        <w:rPr>
          <w:bCs/>
        </w:rPr>
      </w:pPr>
      <w:r w:rsidRPr="0097576B">
        <w:rPr>
          <w:bCs/>
        </w:rPr>
        <w:t>In the rich information society that we live in, individuals deal with large numbers of emails, tweets, pictures and videos on a daily basis as a matter of course.  Information overload is commonplace even while new technologies continue to emerge and place</w:t>
      </w:r>
      <w:r w:rsidR="0080710F">
        <w:rPr>
          <w:bCs/>
        </w:rPr>
        <w:t xml:space="preserve"> more demands on the individual</w:t>
      </w:r>
      <w:r w:rsidRPr="0097576B">
        <w:rPr>
          <w:bCs/>
        </w:rPr>
        <w:t>. Yet this is hugely different from the situation before the arrival of the PC in the late 1970s. As time goes by</w:t>
      </w:r>
      <w:r w:rsidR="00524D6B">
        <w:rPr>
          <w:bCs/>
        </w:rPr>
        <w:t>,</w:t>
      </w:r>
      <w:r w:rsidRPr="0097576B">
        <w:rPr>
          <w:bCs/>
        </w:rPr>
        <w:t xml:space="preserve"> it becomes harder to gain a perspective on the </w:t>
      </w:r>
      <w:r w:rsidR="0080710F">
        <w:rPr>
          <w:bCs/>
        </w:rPr>
        <w:t>enormous</w:t>
      </w:r>
      <w:r w:rsidRPr="0097576B">
        <w:rPr>
          <w:bCs/>
        </w:rPr>
        <w:t xml:space="preserve"> changes that have occurred – not least because of a lack of data of how it was back then. This research note unearths some previously unpublished data about an individual’s communication patterns in 1981 and compares it to the same individual’s communications exactly 30 years later. Because the data was collected in the same way and for the same period at both points, it is possible to make </w:t>
      </w:r>
      <w:r w:rsidR="00524D6B">
        <w:rPr>
          <w:bCs/>
        </w:rPr>
        <w:t xml:space="preserve">some </w:t>
      </w:r>
      <w:r w:rsidRPr="0097576B">
        <w:rPr>
          <w:bCs/>
        </w:rPr>
        <w:t xml:space="preserve">direct comparisons of communications types, loads and work style in the two different eras.  The data and work experiences reported for this one individual provide an indication  of the huge changes that have occurred in written communications. However, they also raise questions as to whether employees can cope with the new technology deluge and whether they are being given adequate support to do so. </w:t>
      </w:r>
    </w:p>
    <w:p w:rsidR="00E52C16" w:rsidRPr="00480C83" w:rsidRDefault="00524D6B" w:rsidP="00C6339A">
      <w:pPr>
        <w:rPr>
          <w:bCs/>
        </w:rPr>
      </w:pPr>
      <w:r w:rsidRPr="00524D6B">
        <w:rPr>
          <w:b/>
          <w:bCs/>
          <w:u w:val="single"/>
        </w:rPr>
        <w:t>Keywords:</w:t>
      </w:r>
      <w:r>
        <w:rPr>
          <w:b/>
          <w:bCs/>
        </w:rPr>
        <w:t xml:space="preserve"> </w:t>
      </w:r>
      <w:r w:rsidRPr="00524D6B">
        <w:rPr>
          <w:bCs/>
        </w:rPr>
        <w:t>Communication styles; email communication; volume of information; information management</w:t>
      </w:r>
    </w:p>
    <w:p w:rsidR="00F00A1D" w:rsidRPr="00F00A1D" w:rsidRDefault="00F00A1D" w:rsidP="00C6339A">
      <w:pPr>
        <w:rPr>
          <w:b/>
          <w:bCs/>
          <w:u w:val="single"/>
        </w:rPr>
      </w:pPr>
      <w:r w:rsidRPr="00F00A1D">
        <w:rPr>
          <w:b/>
          <w:bCs/>
          <w:u w:val="single"/>
        </w:rPr>
        <w:t>Introduction</w:t>
      </w:r>
      <w:r w:rsidR="008D360B">
        <w:rPr>
          <w:b/>
          <w:bCs/>
          <w:u w:val="single"/>
        </w:rPr>
        <w:t xml:space="preserve">   </w:t>
      </w:r>
    </w:p>
    <w:p w:rsidR="00295428" w:rsidRDefault="00C6339A" w:rsidP="00393A9F">
      <w:r>
        <w:t>I</w:t>
      </w:r>
      <w:r w:rsidR="006C1B7E">
        <w:t xml:space="preserve">n the rich information society that we live in, nearly everything can be tallied and recorded because of the electronic nature of communication.  Many of the </w:t>
      </w:r>
      <w:r>
        <w:t xml:space="preserve">communication statistics </w:t>
      </w:r>
      <w:r w:rsidR="006C1B7E">
        <w:t xml:space="preserve">presented </w:t>
      </w:r>
      <w:r>
        <w:t>can be</w:t>
      </w:r>
      <w:r w:rsidR="006C1B7E">
        <w:t xml:space="preserve"> difficult to comprehend, for example</w:t>
      </w:r>
      <w:r w:rsidR="0026541D">
        <w:t>,</w:t>
      </w:r>
      <w:r w:rsidR="006C1B7E">
        <w:t xml:space="preserve"> </w:t>
      </w:r>
      <w:r w:rsidR="0026541D">
        <w:t xml:space="preserve">in 2011 </w:t>
      </w:r>
      <w:r w:rsidR="006C1B7E">
        <w:t>every sixty seconds</w:t>
      </w:r>
      <w:r>
        <w:t xml:space="preserve"> in the world</w:t>
      </w:r>
      <w:r w:rsidR="0026541D">
        <w:t xml:space="preserve"> over 25 hours of video were</w:t>
      </w:r>
      <w:r w:rsidR="006C1B7E">
        <w:t xml:space="preserve"> uploaded to</w:t>
      </w:r>
      <w:r w:rsidR="0026541D">
        <w:t xml:space="preserve"> YouTube, 168 million emails were</w:t>
      </w:r>
      <w:r w:rsidR="006C1B7E">
        <w:t xml:space="preserve"> sent, over 98,000 twitter</w:t>
      </w:r>
      <w:r w:rsidR="0080710F">
        <w:t>s</w:t>
      </w:r>
      <w:r w:rsidR="006C1B7E">
        <w:t xml:space="preserve"> </w:t>
      </w:r>
      <w:r w:rsidR="0026541D">
        <w:t>were</w:t>
      </w:r>
      <w:r w:rsidR="00E17BAD">
        <w:t xml:space="preserve"> </w:t>
      </w:r>
      <w:r w:rsidR="006C1B7E">
        <w:t>tweet</w:t>
      </w:r>
      <w:r w:rsidR="00E17BAD">
        <w:t>ed</w:t>
      </w:r>
      <w:r w:rsidR="006C1B7E">
        <w:t xml:space="preserve">, </w:t>
      </w:r>
      <w:r w:rsidR="00E17BAD">
        <w:t xml:space="preserve">and </w:t>
      </w:r>
      <w:r w:rsidR="0080710F">
        <w:t>over 6,</w:t>
      </w:r>
      <w:r w:rsidR="0026541D">
        <w:t xml:space="preserve">000 pictures were </w:t>
      </w:r>
      <w:r w:rsidR="006C1B7E">
        <w:t>uploaded to flickr</w:t>
      </w:r>
      <w:r w:rsidR="00D641EC">
        <w:t xml:space="preserve"> (Go-Gulf, 2011)</w:t>
      </w:r>
      <w:r w:rsidR="006C1B7E">
        <w:t xml:space="preserve">. </w:t>
      </w:r>
      <w:r w:rsidR="0080710F">
        <w:t>Within a few hours,</w:t>
      </w:r>
      <w:r w:rsidR="00C42930">
        <w:t xml:space="preserve"> there is more information produced than a human can process in their lifetime.</w:t>
      </w:r>
      <w:r>
        <w:t xml:space="preserve"> Just within an office environment</w:t>
      </w:r>
      <w:r w:rsidR="0026541D">
        <w:t>,</w:t>
      </w:r>
      <w:r>
        <w:t xml:space="preserve"> an individual can suffer from information</w:t>
      </w:r>
      <w:r w:rsidR="00C42930">
        <w:t xml:space="preserve"> </w:t>
      </w:r>
      <w:r>
        <w:t xml:space="preserve">overload even though we now know the </w:t>
      </w:r>
      <w:r w:rsidR="00B41582">
        <w:t xml:space="preserve">contributing </w:t>
      </w:r>
      <w:r>
        <w:t xml:space="preserve">factors </w:t>
      </w:r>
      <w:r w:rsidR="0097576B">
        <w:fldChar w:fldCharType="begin"/>
      </w:r>
      <w:r w:rsidR="00712737">
        <w:instrText>ADDIN RW.CITE{{311 Jackson,T.W. 2012}}</w:instrText>
      </w:r>
      <w:r w:rsidR="0097576B">
        <w:fldChar w:fldCharType="separate"/>
      </w:r>
      <w:r w:rsidR="00712737">
        <w:t>(Jackson &amp; Farzaneh, 2012)</w:t>
      </w:r>
      <w:r w:rsidR="0097576B">
        <w:fldChar w:fldCharType="end"/>
      </w:r>
      <w:r>
        <w:t xml:space="preserve">. </w:t>
      </w:r>
      <w:r w:rsidR="001B25DB">
        <w:t xml:space="preserve">To provide a perspective on what has happened, this </w:t>
      </w:r>
      <w:r w:rsidR="0080710F">
        <w:t>Research N</w:t>
      </w:r>
      <w:r w:rsidR="00393A9F">
        <w:t>ote</w:t>
      </w:r>
      <w:r w:rsidR="00D80831">
        <w:t xml:space="preserve"> </w:t>
      </w:r>
      <w:r w:rsidR="001B25DB">
        <w:t xml:space="preserve">compares the written communication records of one </w:t>
      </w:r>
      <w:r w:rsidR="00CE3983">
        <w:t>employee</w:t>
      </w:r>
      <w:r w:rsidR="001B25DB">
        <w:t xml:space="preserve"> from an eight week period some 30 years ago in 1981</w:t>
      </w:r>
      <w:r w:rsidR="0080710F">
        <w:t>,</w:t>
      </w:r>
      <w:r w:rsidR="001B25DB">
        <w:t xml:space="preserve"> </w:t>
      </w:r>
      <w:r w:rsidR="0080710F">
        <w:t>with</w:t>
      </w:r>
      <w:r w:rsidR="001B25DB">
        <w:t xml:space="preserve"> the </w:t>
      </w:r>
      <w:r w:rsidR="00E17BAD">
        <w:t xml:space="preserve">equivalent </w:t>
      </w:r>
      <w:r w:rsidR="001B25DB">
        <w:t xml:space="preserve">period in 2011. The data </w:t>
      </w:r>
      <w:r w:rsidR="00BC7EF1">
        <w:t>provides a feel for</w:t>
      </w:r>
      <w:r w:rsidR="001B25DB">
        <w:t xml:space="preserve"> the degree of change that has occurred, as well as illustrating some of the extreme volumes of email that some professional workers now have to contend with.  </w:t>
      </w:r>
      <w:r w:rsidR="00BC7EF1">
        <w:t xml:space="preserve">Since the rate of change is by no means abating at present, this </w:t>
      </w:r>
      <w:r w:rsidR="0080710F">
        <w:t>Research N</w:t>
      </w:r>
      <w:r w:rsidR="00393A9F">
        <w:t>ote</w:t>
      </w:r>
      <w:r w:rsidR="00BC7EF1">
        <w:t xml:space="preserve"> also </w:t>
      </w:r>
      <w:r w:rsidR="008D360B">
        <w:t xml:space="preserve">outlines some questions raised by the experiences described. </w:t>
      </w:r>
    </w:p>
    <w:p w:rsidR="00E52C16" w:rsidRDefault="00E52C16" w:rsidP="00CE3983">
      <w:pPr>
        <w:rPr>
          <w:b/>
          <w:bCs/>
          <w:u w:val="single"/>
        </w:rPr>
      </w:pPr>
    </w:p>
    <w:p w:rsidR="00480C83" w:rsidRDefault="00480C83" w:rsidP="00CE3983">
      <w:pPr>
        <w:rPr>
          <w:b/>
          <w:bCs/>
          <w:u w:val="single"/>
        </w:rPr>
      </w:pPr>
    </w:p>
    <w:p w:rsidR="00F00A1D" w:rsidRPr="00F00A1D" w:rsidRDefault="00122A34" w:rsidP="00CE3983">
      <w:pPr>
        <w:rPr>
          <w:b/>
          <w:bCs/>
          <w:u w:val="single"/>
        </w:rPr>
      </w:pPr>
      <w:r>
        <w:rPr>
          <w:b/>
          <w:bCs/>
          <w:u w:val="single"/>
        </w:rPr>
        <w:lastRenderedPageBreak/>
        <w:t>Method</w:t>
      </w:r>
    </w:p>
    <w:p w:rsidR="00A71DE6" w:rsidRDefault="00122A34" w:rsidP="00D44449">
      <w:r>
        <w:t>The data collection and viewpo</w:t>
      </w:r>
      <w:r w:rsidR="0026541D">
        <w:t>int of the findings presented are</w:t>
      </w:r>
      <w:r>
        <w:t xml:space="preserve"> based on one employee, Paul Wilson.  </w:t>
      </w:r>
      <w:r w:rsidR="002C0FBC">
        <w:t>In 1981, he</w:t>
      </w:r>
      <w:r w:rsidR="00EC0FD8">
        <w:t xml:space="preserve"> used a log sheet to record</w:t>
      </w:r>
      <w:r w:rsidR="002C0FBC">
        <w:t xml:space="preserve"> the written communications he received over an eight week period during October and November of that year.  </w:t>
      </w:r>
      <w:r w:rsidR="00F423BB">
        <w:t>Thirty years later, in October and November 2011, he</w:t>
      </w:r>
      <w:r w:rsidR="00EC0FD8">
        <w:t xml:space="preserve"> </w:t>
      </w:r>
      <w:r w:rsidR="0008527C">
        <w:t>used a</w:t>
      </w:r>
      <w:r w:rsidR="00F423BB">
        <w:t xml:space="preserve"> </w:t>
      </w:r>
      <w:r w:rsidR="00EC0FD8">
        <w:t>similar log sheet to record</w:t>
      </w:r>
      <w:r w:rsidR="00F423BB">
        <w:t xml:space="preserve"> the same details</w:t>
      </w:r>
      <w:r w:rsidR="00EC0FD8">
        <w:t xml:space="preserve"> of his hard copy communications, and he stored all emails sent and received during that period in folders</w:t>
      </w:r>
      <w:r w:rsidR="00F423BB">
        <w:t>. The</w:t>
      </w:r>
      <w:r>
        <w:t xml:space="preserve"> data collected</w:t>
      </w:r>
      <w:r w:rsidR="00F423BB">
        <w:t xml:space="preserve"> over the two periods </w:t>
      </w:r>
      <w:r>
        <w:t>w</w:t>
      </w:r>
      <w:r w:rsidR="002B516F">
        <w:t>ere</w:t>
      </w:r>
      <w:r>
        <w:t xml:space="preserve"> put into </w:t>
      </w:r>
      <w:r w:rsidR="00905DF6">
        <w:t xml:space="preserve">the </w:t>
      </w:r>
      <w:r>
        <w:t xml:space="preserve">twenty-two </w:t>
      </w:r>
      <w:r w:rsidR="00EC0FD8">
        <w:t xml:space="preserve">subject </w:t>
      </w:r>
      <w:r>
        <w:t>categories</w:t>
      </w:r>
      <w:r w:rsidR="00905DF6">
        <w:t xml:space="preserve"> listed in Table 1</w:t>
      </w:r>
      <w:r>
        <w:t>. This was done by</w:t>
      </w:r>
      <w:r w:rsidR="00A71DE6">
        <w:t>:</w:t>
      </w:r>
      <w:r>
        <w:t xml:space="preserve"> </w:t>
      </w:r>
    </w:p>
    <w:p w:rsidR="00A71DE6" w:rsidRDefault="00F423BB" w:rsidP="00D44449">
      <w:r>
        <w:t xml:space="preserve">a) </w:t>
      </w:r>
      <w:r w:rsidR="00A3160B">
        <w:t>grouping</w:t>
      </w:r>
      <w:r w:rsidR="00122A34">
        <w:t xml:space="preserve"> each of the</w:t>
      </w:r>
      <w:r w:rsidR="00A53200">
        <w:t xml:space="preserve"> </w:t>
      </w:r>
      <w:r w:rsidR="00D44449">
        <w:t>communications</w:t>
      </w:r>
      <w:r w:rsidR="00A3160B">
        <w:t xml:space="preserve"> recorded</w:t>
      </w:r>
      <w:r w:rsidR="00D44449">
        <w:t xml:space="preserve"> in 1981</w:t>
      </w:r>
      <w:r w:rsidR="00EC0FD8">
        <w:t xml:space="preserve"> into similar topic areas and then naming each area as a subject category</w:t>
      </w:r>
      <w:r>
        <w:t xml:space="preserve">, </w:t>
      </w:r>
    </w:p>
    <w:p w:rsidR="00A71DE6" w:rsidRDefault="00F423BB" w:rsidP="00D44449">
      <w:r>
        <w:t xml:space="preserve">b) </w:t>
      </w:r>
      <w:r w:rsidR="0008527C">
        <w:t>placing each of the</w:t>
      </w:r>
      <w:r w:rsidR="00122A34">
        <w:t xml:space="preserve"> 1,943 communications recorded in </w:t>
      </w:r>
      <w:r w:rsidR="0026541D">
        <w:t xml:space="preserve">the </w:t>
      </w:r>
      <w:r w:rsidR="00122A34">
        <w:t>2011</w:t>
      </w:r>
      <w:r w:rsidR="0008527C">
        <w:t xml:space="preserve"> </w:t>
      </w:r>
      <w:r w:rsidR="0026541D">
        <w:t xml:space="preserve">period </w:t>
      </w:r>
      <w:r w:rsidR="0008527C">
        <w:t>into one or other of these categories</w:t>
      </w:r>
      <w:r w:rsidR="00122A34">
        <w:t xml:space="preserve">, and, where no suitable category existed, </w:t>
      </w:r>
      <w:r>
        <w:t xml:space="preserve">establishing </w:t>
      </w:r>
      <w:r w:rsidR="00122A34">
        <w:t>a new category</w:t>
      </w:r>
      <w:r>
        <w:t xml:space="preserve">, and </w:t>
      </w:r>
    </w:p>
    <w:p w:rsidR="00122A34" w:rsidRDefault="00F423BB" w:rsidP="00D44449">
      <w:r>
        <w:t xml:space="preserve">c) refining and integrating </w:t>
      </w:r>
      <w:r w:rsidR="00122A34">
        <w:t xml:space="preserve">the new categories with the </w:t>
      </w:r>
      <w:r>
        <w:t xml:space="preserve">1981 </w:t>
      </w:r>
      <w:r w:rsidR="00122A34">
        <w:t>set</w:t>
      </w:r>
      <w:r w:rsidR="0008527C">
        <w:t xml:space="preserve"> of communications</w:t>
      </w:r>
      <w:r w:rsidR="00122A34">
        <w:t xml:space="preserve">.  </w:t>
      </w:r>
      <w:r>
        <w:t xml:space="preserve">Following this analysis, </w:t>
      </w:r>
      <w:r w:rsidR="00E14D42">
        <w:t xml:space="preserve">written and verbal </w:t>
      </w:r>
      <w:r w:rsidR="00186BB0">
        <w:t>conversations were held</w:t>
      </w:r>
      <w:r>
        <w:t xml:space="preserve"> with Wilson to establish his experiences of the difference between working in an office in 1981 and in 2011.</w:t>
      </w:r>
    </w:p>
    <w:p w:rsidR="00905DF6" w:rsidRPr="008D4276" w:rsidRDefault="00905DF6" w:rsidP="00905DF6">
      <w:pPr>
        <w:jc w:val="center"/>
        <w:rPr>
          <w:b/>
          <w:bCs/>
        </w:rPr>
      </w:pPr>
      <w:r>
        <w:rPr>
          <w:b/>
          <w:bCs/>
        </w:rPr>
        <w:t>Table 1</w:t>
      </w:r>
      <w:r w:rsidRPr="008D4276">
        <w:rPr>
          <w:b/>
          <w:bCs/>
        </w:rPr>
        <w:t xml:space="preserve"> – </w:t>
      </w:r>
      <w:r>
        <w:rPr>
          <w:b/>
          <w:bCs/>
        </w:rPr>
        <w:t>Subject Categories and their relative frequencies in the comparison periods</w:t>
      </w:r>
    </w:p>
    <w:tbl>
      <w:tblPr>
        <w:tblStyle w:val="TableGrid"/>
        <w:tblW w:w="0" w:type="auto"/>
        <w:jc w:val="center"/>
        <w:tblInd w:w="-661" w:type="dxa"/>
        <w:tblLayout w:type="fixed"/>
        <w:tblLook w:val="04A0"/>
      </w:tblPr>
      <w:tblGrid>
        <w:gridCol w:w="3888"/>
        <w:gridCol w:w="757"/>
        <w:gridCol w:w="802"/>
        <w:gridCol w:w="802"/>
        <w:gridCol w:w="850"/>
      </w:tblGrid>
      <w:tr w:rsidR="00905DF6" w:rsidTr="0026541D">
        <w:trPr>
          <w:jc w:val="center"/>
        </w:trPr>
        <w:tc>
          <w:tcPr>
            <w:tcW w:w="3888" w:type="dxa"/>
          </w:tcPr>
          <w:p w:rsidR="00905DF6" w:rsidRDefault="00905DF6" w:rsidP="00882CA4"/>
        </w:tc>
        <w:tc>
          <w:tcPr>
            <w:tcW w:w="757" w:type="dxa"/>
          </w:tcPr>
          <w:p w:rsidR="00905DF6" w:rsidRDefault="00905DF6" w:rsidP="00882CA4">
            <w:r>
              <w:t>1981</w:t>
            </w:r>
          </w:p>
          <w:p w:rsidR="00905DF6" w:rsidRDefault="00905DF6" w:rsidP="00882CA4">
            <w:r>
              <w:t>No of Items Recvd</w:t>
            </w:r>
          </w:p>
        </w:tc>
        <w:tc>
          <w:tcPr>
            <w:tcW w:w="802" w:type="dxa"/>
          </w:tcPr>
          <w:p w:rsidR="00905DF6" w:rsidRDefault="00905DF6" w:rsidP="00882CA4">
            <w:r>
              <w:t>2011</w:t>
            </w:r>
          </w:p>
          <w:p w:rsidR="00905DF6" w:rsidRDefault="00905DF6" w:rsidP="00882CA4">
            <w:r>
              <w:t>No of Items Recvd</w:t>
            </w:r>
          </w:p>
        </w:tc>
        <w:tc>
          <w:tcPr>
            <w:tcW w:w="802" w:type="dxa"/>
          </w:tcPr>
          <w:p w:rsidR="00905DF6" w:rsidRDefault="00905DF6" w:rsidP="00882CA4">
            <w:r>
              <w:t>1981 % of Total Recvd</w:t>
            </w:r>
          </w:p>
        </w:tc>
        <w:tc>
          <w:tcPr>
            <w:tcW w:w="850" w:type="dxa"/>
          </w:tcPr>
          <w:p w:rsidR="00905DF6" w:rsidRDefault="00905DF6" w:rsidP="00882CA4">
            <w:r>
              <w:t>2011 % of Total Recvd</w:t>
            </w:r>
          </w:p>
        </w:tc>
      </w:tr>
      <w:tr w:rsidR="00905DF6" w:rsidTr="0026541D">
        <w:trPr>
          <w:jc w:val="center"/>
        </w:trPr>
        <w:tc>
          <w:tcPr>
            <w:tcW w:w="3888" w:type="dxa"/>
            <w:vAlign w:val="bottom"/>
          </w:tcPr>
          <w:p w:rsidR="00905DF6" w:rsidRDefault="00905DF6" w:rsidP="00882CA4">
            <w:r>
              <w:rPr>
                <w:rFonts w:ascii="Calibri" w:hAnsi="Calibri"/>
                <w:color w:val="000000"/>
              </w:rPr>
              <w:t>A</w:t>
            </w:r>
            <w:r w:rsidR="00B8380A">
              <w:rPr>
                <w:rFonts w:ascii="Calibri" w:hAnsi="Calibri"/>
                <w:color w:val="000000"/>
              </w:rPr>
              <w:t>bstracts</w:t>
            </w:r>
          </w:p>
        </w:tc>
        <w:tc>
          <w:tcPr>
            <w:tcW w:w="757" w:type="dxa"/>
            <w:vAlign w:val="bottom"/>
          </w:tcPr>
          <w:p w:rsidR="00905DF6" w:rsidRDefault="00905DF6" w:rsidP="0026541D">
            <w:pPr>
              <w:jc w:val="center"/>
            </w:pPr>
            <w:r>
              <w:rPr>
                <w:rFonts w:ascii="Calibri" w:hAnsi="Calibri"/>
                <w:color w:val="000000"/>
              </w:rPr>
              <w:t>5</w:t>
            </w:r>
          </w:p>
        </w:tc>
        <w:tc>
          <w:tcPr>
            <w:tcW w:w="802" w:type="dxa"/>
            <w:vAlign w:val="bottom"/>
          </w:tcPr>
          <w:p w:rsidR="00905DF6" w:rsidRDefault="00905DF6" w:rsidP="0026541D">
            <w:pPr>
              <w:jc w:val="center"/>
            </w:pPr>
            <w:r>
              <w:rPr>
                <w:rFonts w:ascii="Calibri" w:hAnsi="Calibri"/>
                <w:color w:val="000000"/>
              </w:rPr>
              <w:t>24</w:t>
            </w:r>
          </w:p>
        </w:tc>
        <w:tc>
          <w:tcPr>
            <w:tcW w:w="802" w:type="dxa"/>
            <w:vAlign w:val="bottom"/>
          </w:tcPr>
          <w:p w:rsidR="00905DF6" w:rsidRDefault="00905DF6" w:rsidP="0026541D">
            <w:pPr>
              <w:jc w:val="right"/>
            </w:pPr>
            <w:r>
              <w:rPr>
                <w:rFonts w:ascii="Calibri" w:hAnsi="Calibri"/>
                <w:color w:val="000000"/>
              </w:rPr>
              <w:t>6.3%</w:t>
            </w:r>
          </w:p>
        </w:tc>
        <w:tc>
          <w:tcPr>
            <w:tcW w:w="850" w:type="dxa"/>
            <w:vAlign w:val="bottom"/>
          </w:tcPr>
          <w:p w:rsidR="00905DF6" w:rsidRDefault="00905DF6" w:rsidP="0026541D">
            <w:pPr>
              <w:jc w:val="right"/>
            </w:pPr>
            <w:r>
              <w:rPr>
                <w:rFonts w:ascii="Calibri" w:hAnsi="Calibri"/>
                <w:color w:val="000000"/>
              </w:rPr>
              <w:t>1.2%</w:t>
            </w:r>
          </w:p>
        </w:tc>
      </w:tr>
      <w:tr w:rsidR="00905DF6" w:rsidTr="0026541D">
        <w:trPr>
          <w:jc w:val="center"/>
        </w:trPr>
        <w:tc>
          <w:tcPr>
            <w:tcW w:w="3888" w:type="dxa"/>
            <w:vAlign w:val="bottom"/>
          </w:tcPr>
          <w:p w:rsidR="00905DF6" w:rsidRDefault="00905DF6" w:rsidP="00882CA4">
            <w:r>
              <w:rPr>
                <w:rFonts w:ascii="Calibri" w:hAnsi="Calibri"/>
                <w:color w:val="000000"/>
              </w:rPr>
              <w:t>A</w:t>
            </w:r>
            <w:r w:rsidR="00B8380A">
              <w:rPr>
                <w:rFonts w:ascii="Calibri" w:hAnsi="Calibri"/>
                <w:color w:val="000000"/>
              </w:rPr>
              <w:t>dverts</w:t>
            </w:r>
          </w:p>
        </w:tc>
        <w:tc>
          <w:tcPr>
            <w:tcW w:w="757" w:type="dxa"/>
            <w:vAlign w:val="bottom"/>
          </w:tcPr>
          <w:p w:rsidR="00905DF6" w:rsidRDefault="00905DF6" w:rsidP="0026541D">
            <w:pPr>
              <w:jc w:val="center"/>
            </w:pPr>
            <w:r>
              <w:rPr>
                <w:rFonts w:ascii="Calibri" w:hAnsi="Calibri"/>
                <w:color w:val="000000"/>
              </w:rPr>
              <w:t>1</w:t>
            </w:r>
          </w:p>
        </w:tc>
        <w:tc>
          <w:tcPr>
            <w:tcW w:w="802" w:type="dxa"/>
            <w:vAlign w:val="bottom"/>
          </w:tcPr>
          <w:p w:rsidR="00905DF6" w:rsidRDefault="00905DF6" w:rsidP="0026541D">
            <w:pPr>
              <w:jc w:val="center"/>
            </w:pPr>
            <w:r>
              <w:rPr>
                <w:rFonts w:ascii="Calibri" w:hAnsi="Calibri"/>
                <w:color w:val="000000"/>
              </w:rPr>
              <w:t>112</w:t>
            </w:r>
          </w:p>
        </w:tc>
        <w:tc>
          <w:tcPr>
            <w:tcW w:w="802" w:type="dxa"/>
            <w:vAlign w:val="bottom"/>
          </w:tcPr>
          <w:p w:rsidR="00905DF6" w:rsidRDefault="00905DF6" w:rsidP="0026541D">
            <w:pPr>
              <w:jc w:val="right"/>
            </w:pPr>
            <w:r>
              <w:rPr>
                <w:rFonts w:ascii="Calibri" w:hAnsi="Calibri"/>
                <w:color w:val="000000"/>
              </w:rPr>
              <w:t>1.3%</w:t>
            </w:r>
          </w:p>
        </w:tc>
        <w:tc>
          <w:tcPr>
            <w:tcW w:w="850" w:type="dxa"/>
            <w:vAlign w:val="bottom"/>
          </w:tcPr>
          <w:p w:rsidR="00905DF6" w:rsidRDefault="00905DF6" w:rsidP="0026541D">
            <w:pPr>
              <w:jc w:val="right"/>
            </w:pPr>
            <w:r>
              <w:rPr>
                <w:rFonts w:ascii="Calibri" w:hAnsi="Calibri"/>
                <w:color w:val="000000"/>
              </w:rPr>
              <w:t>5.8%</w:t>
            </w:r>
          </w:p>
        </w:tc>
      </w:tr>
      <w:tr w:rsidR="00905DF6" w:rsidTr="0026541D">
        <w:trPr>
          <w:jc w:val="center"/>
        </w:trPr>
        <w:tc>
          <w:tcPr>
            <w:tcW w:w="3888" w:type="dxa"/>
            <w:vAlign w:val="bottom"/>
          </w:tcPr>
          <w:p w:rsidR="00905DF6" w:rsidRDefault="00905DF6" w:rsidP="00882CA4">
            <w:r>
              <w:rPr>
                <w:rFonts w:ascii="Calibri" w:hAnsi="Calibri"/>
                <w:color w:val="000000"/>
              </w:rPr>
              <w:t>C</w:t>
            </w:r>
            <w:r w:rsidR="00B8380A">
              <w:rPr>
                <w:rFonts w:ascii="Calibri" w:hAnsi="Calibri"/>
                <w:color w:val="000000"/>
              </w:rPr>
              <w:t>ompany Friends</w:t>
            </w:r>
          </w:p>
        </w:tc>
        <w:tc>
          <w:tcPr>
            <w:tcW w:w="757" w:type="dxa"/>
            <w:vAlign w:val="bottom"/>
          </w:tcPr>
          <w:p w:rsidR="00905DF6" w:rsidRDefault="00905DF6" w:rsidP="0026541D">
            <w:pPr>
              <w:jc w:val="center"/>
            </w:pPr>
            <w:r>
              <w:rPr>
                <w:rFonts w:ascii="Calibri" w:hAnsi="Calibri"/>
                <w:color w:val="000000"/>
              </w:rPr>
              <w:t>None</w:t>
            </w:r>
          </w:p>
        </w:tc>
        <w:tc>
          <w:tcPr>
            <w:tcW w:w="802" w:type="dxa"/>
            <w:vAlign w:val="bottom"/>
          </w:tcPr>
          <w:p w:rsidR="00905DF6" w:rsidRDefault="00905DF6" w:rsidP="0026541D">
            <w:pPr>
              <w:jc w:val="center"/>
            </w:pPr>
            <w:r>
              <w:rPr>
                <w:rFonts w:ascii="Calibri" w:hAnsi="Calibri"/>
                <w:color w:val="000000"/>
              </w:rPr>
              <w:t>12</w:t>
            </w:r>
          </w:p>
        </w:tc>
        <w:tc>
          <w:tcPr>
            <w:tcW w:w="802" w:type="dxa"/>
            <w:vAlign w:val="bottom"/>
          </w:tcPr>
          <w:p w:rsidR="00905DF6" w:rsidRDefault="00905DF6" w:rsidP="0026541D">
            <w:pPr>
              <w:jc w:val="right"/>
            </w:pPr>
            <w:r>
              <w:rPr>
                <w:rFonts w:ascii="Calibri" w:hAnsi="Calibri"/>
                <w:color w:val="000000"/>
              </w:rPr>
              <w:t>0.0%</w:t>
            </w:r>
          </w:p>
        </w:tc>
        <w:tc>
          <w:tcPr>
            <w:tcW w:w="850" w:type="dxa"/>
            <w:vAlign w:val="bottom"/>
          </w:tcPr>
          <w:p w:rsidR="00905DF6" w:rsidRDefault="00905DF6" w:rsidP="0026541D">
            <w:pPr>
              <w:jc w:val="right"/>
            </w:pPr>
            <w:r>
              <w:rPr>
                <w:rFonts w:ascii="Calibri" w:hAnsi="Calibri"/>
                <w:color w:val="000000"/>
              </w:rPr>
              <w:t>0.6%</w:t>
            </w:r>
          </w:p>
        </w:tc>
      </w:tr>
      <w:tr w:rsidR="00905DF6" w:rsidTr="0026541D">
        <w:trPr>
          <w:jc w:val="center"/>
        </w:trPr>
        <w:tc>
          <w:tcPr>
            <w:tcW w:w="3888" w:type="dxa"/>
            <w:vAlign w:val="bottom"/>
          </w:tcPr>
          <w:p w:rsidR="00905DF6" w:rsidRDefault="00905DF6" w:rsidP="00B8380A">
            <w:r>
              <w:rPr>
                <w:rFonts w:ascii="Calibri" w:hAnsi="Calibri"/>
                <w:color w:val="000000"/>
              </w:rPr>
              <w:t>C</w:t>
            </w:r>
            <w:r w:rsidR="00B8380A">
              <w:rPr>
                <w:rFonts w:ascii="Calibri" w:hAnsi="Calibri"/>
                <w:color w:val="000000"/>
              </w:rPr>
              <w:t>ompany Information</w:t>
            </w:r>
          </w:p>
        </w:tc>
        <w:tc>
          <w:tcPr>
            <w:tcW w:w="757" w:type="dxa"/>
            <w:vAlign w:val="bottom"/>
          </w:tcPr>
          <w:p w:rsidR="00905DF6" w:rsidRDefault="00905DF6" w:rsidP="0026541D">
            <w:pPr>
              <w:jc w:val="center"/>
            </w:pPr>
            <w:r>
              <w:rPr>
                <w:rFonts w:ascii="Calibri" w:hAnsi="Calibri"/>
                <w:color w:val="000000"/>
              </w:rPr>
              <w:t>5</w:t>
            </w:r>
          </w:p>
        </w:tc>
        <w:tc>
          <w:tcPr>
            <w:tcW w:w="802" w:type="dxa"/>
            <w:vAlign w:val="bottom"/>
          </w:tcPr>
          <w:p w:rsidR="00905DF6" w:rsidRDefault="00905DF6" w:rsidP="0026541D">
            <w:pPr>
              <w:jc w:val="center"/>
            </w:pPr>
            <w:r>
              <w:rPr>
                <w:rFonts w:ascii="Calibri" w:hAnsi="Calibri"/>
                <w:color w:val="000000"/>
              </w:rPr>
              <w:t>74</w:t>
            </w:r>
          </w:p>
        </w:tc>
        <w:tc>
          <w:tcPr>
            <w:tcW w:w="802" w:type="dxa"/>
            <w:vAlign w:val="bottom"/>
          </w:tcPr>
          <w:p w:rsidR="00905DF6" w:rsidRDefault="00905DF6" w:rsidP="0026541D">
            <w:pPr>
              <w:jc w:val="right"/>
            </w:pPr>
            <w:r>
              <w:rPr>
                <w:rFonts w:ascii="Calibri" w:hAnsi="Calibri"/>
                <w:color w:val="000000"/>
              </w:rPr>
              <w:t>6.3%</w:t>
            </w:r>
          </w:p>
        </w:tc>
        <w:tc>
          <w:tcPr>
            <w:tcW w:w="850" w:type="dxa"/>
            <w:vAlign w:val="bottom"/>
          </w:tcPr>
          <w:p w:rsidR="00905DF6" w:rsidRDefault="00905DF6" w:rsidP="0026541D">
            <w:pPr>
              <w:jc w:val="right"/>
            </w:pPr>
            <w:r>
              <w:rPr>
                <w:rFonts w:ascii="Calibri" w:hAnsi="Calibri"/>
                <w:color w:val="000000"/>
              </w:rPr>
              <w:t>3.8%</w:t>
            </w:r>
          </w:p>
        </w:tc>
      </w:tr>
      <w:tr w:rsidR="00905DF6" w:rsidTr="0026541D">
        <w:trPr>
          <w:jc w:val="center"/>
        </w:trPr>
        <w:tc>
          <w:tcPr>
            <w:tcW w:w="3888" w:type="dxa"/>
            <w:vAlign w:val="bottom"/>
          </w:tcPr>
          <w:p w:rsidR="00905DF6" w:rsidRDefault="00905DF6" w:rsidP="00B8380A">
            <w:r>
              <w:rPr>
                <w:rFonts w:ascii="Calibri" w:hAnsi="Calibri"/>
                <w:color w:val="000000"/>
              </w:rPr>
              <w:t>C</w:t>
            </w:r>
            <w:r w:rsidR="00B8380A">
              <w:rPr>
                <w:rFonts w:ascii="Calibri" w:hAnsi="Calibri"/>
                <w:color w:val="000000"/>
              </w:rPr>
              <w:t>omputer Systems &amp; Support</w:t>
            </w:r>
          </w:p>
        </w:tc>
        <w:tc>
          <w:tcPr>
            <w:tcW w:w="757" w:type="dxa"/>
            <w:vAlign w:val="bottom"/>
          </w:tcPr>
          <w:p w:rsidR="00905DF6" w:rsidRDefault="00905DF6" w:rsidP="0026541D">
            <w:pPr>
              <w:jc w:val="center"/>
            </w:pPr>
            <w:r>
              <w:rPr>
                <w:rFonts w:ascii="Calibri" w:hAnsi="Calibri"/>
                <w:color w:val="000000"/>
              </w:rPr>
              <w:t>None</w:t>
            </w:r>
          </w:p>
        </w:tc>
        <w:tc>
          <w:tcPr>
            <w:tcW w:w="802" w:type="dxa"/>
            <w:vAlign w:val="bottom"/>
          </w:tcPr>
          <w:p w:rsidR="00905DF6" w:rsidRDefault="00905DF6" w:rsidP="0026541D">
            <w:pPr>
              <w:jc w:val="center"/>
            </w:pPr>
            <w:r>
              <w:rPr>
                <w:rFonts w:ascii="Calibri" w:hAnsi="Calibri"/>
                <w:color w:val="000000"/>
              </w:rPr>
              <w:t>50</w:t>
            </w:r>
          </w:p>
        </w:tc>
        <w:tc>
          <w:tcPr>
            <w:tcW w:w="802" w:type="dxa"/>
            <w:vAlign w:val="bottom"/>
          </w:tcPr>
          <w:p w:rsidR="00905DF6" w:rsidRDefault="00905DF6" w:rsidP="0026541D">
            <w:pPr>
              <w:jc w:val="right"/>
            </w:pPr>
            <w:r>
              <w:rPr>
                <w:rFonts w:ascii="Calibri" w:hAnsi="Calibri"/>
                <w:color w:val="000000"/>
              </w:rPr>
              <w:t>0.0%</w:t>
            </w:r>
          </w:p>
        </w:tc>
        <w:tc>
          <w:tcPr>
            <w:tcW w:w="850" w:type="dxa"/>
            <w:vAlign w:val="bottom"/>
          </w:tcPr>
          <w:p w:rsidR="00905DF6" w:rsidRDefault="00905DF6" w:rsidP="0026541D">
            <w:pPr>
              <w:jc w:val="right"/>
            </w:pPr>
            <w:r>
              <w:rPr>
                <w:rFonts w:ascii="Calibri" w:hAnsi="Calibri"/>
                <w:color w:val="000000"/>
              </w:rPr>
              <w:t>2.6%</w:t>
            </w:r>
          </w:p>
        </w:tc>
      </w:tr>
      <w:tr w:rsidR="00905DF6" w:rsidTr="0026541D">
        <w:trPr>
          <w:jc w:val="center"/>
        </w:trPr>
        <w:tc>
          <w:tcPr>
            <w:tcW w:w="3888" w:type="dxa"/>
            <w:vAlign w:val="bottom"/>
          </w:tcPr>
          <w:p w:rsidR="00905DF6" w:rsidRDefault="00905DF6" w:rsidP="00882CA4">
            <w:r>
              <w:rPr>
                <w:rFonts w:ascii="Calibri" w:hAnsi="Calibri"/>
                <w:color w:val="000000"/>
              </w:rPr>
              <w:t>D</w:t>
            </w:r>
            <w:r w:rsidR="00B8380A">
              <w:rPr>
                <w:rFonts w:ascii="Calibri" w:hAnsi="Calibri"/>
                <w:color w:val="000000"/>
              </w:rPr>
              <w:t>epartment</w:t>
            </w:r>
          </w:p>
        </w:tc>
        <w:tc>
          <w:tcPr>
            <w:tcW w:w="757" w:type="dxa"/>
            <w:vAlign w:val="bottom"/>
          </w:tcPr>
          <w:p w:rsidR="00905DF6" w:rsidRDefault="00905DF6" w:rsidP="0026541D">
            <w:pPr>
              <w:jc w:val="center"/>
            </w:pPr>
            <w:r>
              <w:rPr>
                <w:rFonts w:ascii="Calibri" w:hAnsi="Calibri"/>
                <w:color w:val="000000"/>
              </w:rPr>
              <w:t>1</w:t>
            </w:r>
          </w:p>
        </w:tc>
        <w:tc>
          <w:tcPr>
            <w:tcW w:w="802" w:type="dxa"/>
            <w:vAlign w:val="bottom"/>
          </w:tcPr>
          <w:p w:rsidR="00905DF6" w:rsidRDefault="00905DF6" w:rsidP="0026541D">
            <w:pPr>
              <w:jc w:val="center"/>
            </w:pPr>
            <w:r>
              <w:rPr>
                <w:rFonts w:ascii="Calibri" w:hAnsi="Calibri"/>
                <w:color w:val="000000"/>
              </w:rPr>
              <w:t>62</w:t>
            </w:r>
          </w:p>
        </w:tc>
        <w:tc>
          <w:tcPr>
            <w:tcW w:w="802" w:type="dxa"/>
            <w:vAlign w:val="bottom"/>
          </w:tcPr>
          <w:p w:rsidR="00905DF6" w:rsidRDefault="00905DF6" w:rsidP="0026541D">
            <w:pPr>
              <w:jc w:val="right"/>
            </w:pPr>
            <w:r>
              <w:rPr>
                <w:rFonts w:ascii="Calibri" w:hAnsi="Calibri"/>
                <w:color w:val="000000"/>
              </w:rPr>
              <w:t>1.3%</w:t>
            </w:r>
          </w:p>
        </w:tc>
        <w:tc>
          <w:tcPr>
            <w:tcW w:w="850" w:type="dxa"/>
            <w:vAlign w:val="bottom"/>
          </w:tcPr>
          <w:p w:rsidR="00905DF6" w:rsidRDefault="00905DF6" w:rsidP="0026541D">
            <w:pPr>
              <w:jc w:val="right"/>
            </w:pPr>
            <w:r>
              <w:rPr>
                <w:rFonts w:ascii="Calibri" w:hAnsi="Calibri"/>
                <w:color w:val="000000"/>
              </w:rPr>
              <w:t>3.2%</w:t>
            </w:r>
          </w:p>
        </w:tc>
      </w:tr>
      <w:tr w:rsidR="00905DF6" w:rsidTr="0026541D">
        <w:trPr>
          <w:jc w:val="center"/>
        </w:trPr>
        <w:tc>
          <w:tcPr>
            <w:tcW w:w="3888" w:type="dxa"/>
            <w:vAlign w:val="bottom"/>
          </w:tcPr>
          <w:p w:rsidR="00905DF6" w:rsidRDefault="00905DF6" w:rsidP="00882CA4">
            <w:r>
              <w:rPr>
                <w:rFonts w:ascii="Calibri" w:hAnsi="Calibri"/>
                <w:color w:val="000000"/>
              </w:rPr>
              <w:t>J</w:t>
            </w:r>
            <w:r w:rsidR="00B8380A">
              <w:rPr>
                <w:rFonts w:ascii="Calibri" w:hAnsi="Calibri"/>
                <w:color w:val="000000"/>
              </w:rPr>
              <w:t>ournals</w:t>
            </w:r>
          </w:p>
        </w:tc>
        <w:tc>
          <w:tcPr>
            <w:tcW w:w="757" w:type="dxa"/>
            <w:vAlign w:val="bottom"/>
          </w:tcPr>
          <w:p w:rsidR="00905DF6" w:rsidRDefault="00905DF6" w:rsidP="0026541D">
            <w:pPr>
              <w:jc w:val="center"/>
            </w:pPr>
            <w:r>
              <w:rPr>
                <w:rFonts w:ascii="Calibri" w:hAnsi="Calibri"/>
                <w:color w:val="000000"/>
              </w:rPr>
              <w:t>3</w:t>
            </w:r>
          </w:p>
        </w:tc>
        <w:tc>
          <w:tcPr>
            <w:tcW w:w="802" w:type="dxa"/>
            <w:vAlign w:val="bottom"/>
          </w:tcPr>
          <w:p w:rsidR="00905DF6" w:rsidRDefault="00905DF6" w:rsidP="0026541D">
            <w:pPr>
              <w:jc w:val="center"/>
            </w:pPr>
            <w:r>
              <w:rPr>
                <w:rFonts w:ascii="Calibri" w:hAnsi="Calibri"/>
                <w:color w:val="000000"/>
              </w:rPr>
              <w:t>1</w:t>
            </w:r>
          </w:p>
        </w:tc>
        <w:tc>
          <w:tcPr>
            <w:tcW w:w="802" w:type="dxa"/>
            <w:vAlign w:val="bottom"/>
          </w:tcPr>
          <w:p w:rsidR="00905DF6" w:rsidRDefault="00905DF6" w:rsidP="0026541D">
            <w:pPr>
              <w:jc w:val="right"/>
            </w:pPr>
            <w:r>
              <w:rPr>
                <w:rFonts w:ascii="Calibri" w:hAnsi="Calibri"/>
                <w:color w:val="000000"/>
              </w:rPr>
              <w:t>3.8%</w:t>
            </w:r>
          </w:p>
        </w:tc>
        <w:tc>
          <w:tcPr>
            <w:tcW w:w="850" w:type="dxa"/>
            <w:vAlign w:val="bottom"/>
          </w:tcPr>
          <w:p w:rsidR="00905DF6" w:rsidRDefault="00905DF6" w:rsidP="0026541D">
            <w:pPr>
              <w:jc w:val="right"/>
            </w:pPr>
            <w:r>
              <w:rPr>
                <w:rFonts w:ascii="Calibri" w:hAnsi="Calibri"/>
                <w:color w:val="000000"/>
              </w:rPr>
              <w:t>0.1%</w:t>
            </w:r>
          </w:p>
        </w:tc>
      </w:tr>
      <w:tr w:rsidR="00905DF6" w:rsidTr="0026541D">
        <w:trPr>
          <w:jc w:val="center"/>
        </w:trPr>
        <w:tc>
          <w:tcPr>
            <w:tcW w:w="3888" w:type="dxa"/>
            <w:vAlign w:val="bottom"/>
          </w:tcPr>
          <w:p w:rsidR="00905DF6" w:rsidRDefault="00905DF6" w:rsidP="00882CA4">
            <w:r>
              <w:rPr>
                <w:rFonts w:ascii="Calibri" w:hAnsi="Calibri"/>
                <w:color w:val="000000"/>
              </w:rPr>
              <w:t>F</w:t>
            </w:r>
            <w:r w:rsidR="00B8380A">
              <w:rPr>
                <w:rFonts w:ascii="Calibri" w:hAnsi="Calibri"/>
                <w:color w:val="000000"/>
              </w:rPr>
              <w:t>amily &amp; Friends</w:t>
            </w:r>
          </w:p>
        </w:tc>
        <w:tc>
          <w:tcPr>
            <w:tcW w:w="757" w:type="dxa"/>
            <w:vAlign w:val="bottom"/>
          </w:tcPr>
          <w:p w:rsidR="00905DF6" w:rsidRDefault="00905DF6" w:rsidP="0026541D">
            <w:pPr>
              <w:jc w:val="center"/>
            </w:pPr>
            <w:r>
              <w:rPr>
                <w:rFonts w:ascii="Calibri" w:hAnsi="Calibri"/>
                <w:color w:val="000000"/>
              </w:rPr>
              <w:t>None</w:t>
            </w:r>
          </w:p>
        </w:tc>
        <w:tc>
          <w:tcPr>
            <w:tcW w:w="802" w:type="dxa"/>
            <w:vAlign w:val="bottom"/>
          </w:tcPr>
          <w:p w:rsidR="00905DF6" w:rsidRDefault="00905DF6" w:rsidP="0026541D">
            <w:pPr>
              <w:jc w:val="center"/>
            </w:pPr>
            <w:r>
              <w:rPr>
                <w:rFonts w:ascii="Calibri" w:hAnsi="Calibri"/>
                <w:color w:val="000000"/>
              </w:rPr>
              <w:t>68</w:t>
            </w:r>
          </w:p>
        </w:tc>
        <w:tc>
          <w:tcPr>
            <w:tcW w:w="802" w:type="dxa"/>
            <w:vAlign w:val="bottom"/>
          </w:tcPr>
          <w:p w:rsidR="00905DF6" w:rsidRDefault="00905DF6" w:rsidP="0026541D">
            <w:pPr>
              <w:jc w:val="right"/>
            </w:pPr>
            <w:r>
              <w:rPr>
                <w:rFonts w:ascii="Calibri" w:hAnsi="Calibri"/>
                <w:color w:val="000000"/>
              </w:rPr>
              <w:t>0.0%</w:t>
            </w:r>
          </w:p>
        </w:tc>
        <w:tc>
          <w:tcPr>
            <w:tcW w:w="850" w:type="dxa"/>
            <w:vAlign w:val="bottom"/>
          </w:tcPr>
          <w:p w:rsidR="00905DF6" w:rsidRDefault="00905DF6" w:rsidP="0026541D">
            <w:pPr>
              <w:jc w:val="right"/>
            </w:pPr>
            <w:r>
              <w:rPr>
                <w:rFonts w:ascii="Calibri" w:hAnsi="Calibri"/>
                <w:color w:val="000000"/>
              </w:rPr>
              <w:t>3.5%</w:t>
            </w:r>
          </w:p>
        </w:tc>
      </w:tr>
      <w:tr w:rsidR="00905DF6" w:rsidTr="0026541D">
        <w:trPr>
          <w:jc w:val="center"/>
        </w:trPr>
        <w:tc>
          <w:tcPr>
            <w:tcW w:w="3888" w:type="dxa"/>
            <w:vAlign w:val="bottom"/>
          </w:tcPr>
          <w:p w:rsidR="00905DF6" w:rsidRDefault="00905DF6" w:rsidP="00882CA4">
            <w:r>
              <w:rPr>
                <w:rFonts w:ascii="Calibri" w:hAnsi="Calibri"/>
                <w:color w:val="000000"/>
              </w:rPr>
              <w:t>M</w:t>
            </w:r>
            <w:r w:rsidR="00B8380A">
              <w:rPr>
                <w:rFonts w:ascii="Calibri" w:hAnsi="Calibri"/>
                <w:color w:val="000000"/>
              </w:rPr>
              <w:t>ainstream Work</w:t>
            </w:r>
          </w:p>
        </w:tc>
        <w:tc>
          <w:tcPr>
            <w:tcW w:w="757" w:type="dxa"/>
            <w:vAlign w:val="bottom"/>
          </w:tcPr>
          <w:p w:rsidR="00905DF6" w:rsidRDefault="00905DF6" w:rsidP="0026541D">
            <w:pPr>
              <w:jc w:val="center"/>
            </w:pPr>
            <w:r>
              <w:rPr>
                <w:rFonts w:ascii="Calibri" w:hAnsi="Calibri"/>
                <w:color w:val="000000"/>
              </w:rPr>
              <w:t>18</w:t>
            </w:r>
          </w:p>
        </w:tc>
        <w:tc>
          <w:tcPr>
            <w:tcW w:w="802" w:type="dxa"/>
            <w:vAlign w:val="bottom"/>
          </w:tcPr>
          <w:p w:rsidR="00905DF6" w:rsidRDefault="00905DF6" w:rsidP="0026541D">
            <w:pPr>
              <w:jc w:val="center"/>
            </w:pPr>
            <w:r>
              <w:rPr>
                <w:rFonts w:ascii="Calibri" w:hAnsi="Calibri"/>
                <w:color w:val="000000"/>
              </w:rPr>
              <w:t>1030</w:t>
            </w:r>
          </w:p>
        </w:tc>
        <w:tc>
          <w:tcPr>
            <w:tcW w:w="802" w:type="dxa"/>
            <w:vAlign w:val="bottom"/>
          </w:tcPr>
          <w:p w:rsidR="00905DF6" w:rsidRDefault="00905DF6" w:rsidP="0026541D">
            <w:pPr>
              <w:jc w:val="right"/>
            </w:pPr>
            <w:r>
              <w:rPr>
                <w:rFonts w:ascii="Calibri" w:hAnsi="Calibri"/>
                <w:color w:val="000000"/>
              </w:rPr>
              <w:t>22.8%</w:t>
            </w:r>
          </w:p>
        </w:tc>
        <w:tc>
          <w:tcPr>
            <w:tcW w:w="850" w:type="dxa"/>
            <w:vAlign w:val="bottom"/>
          </w:tcPr>
          <w:p w:rsidR="00905DF6" w:rsidRDefault="00905DF6" w:rsidP="0026541D">
            <w:pPr>
              <w:jc w:val="right"/>
            </w:pPr>
            <w:r>
              <w:rPr>
                <w:rFonts w:ascii="Calibri" w:hAnsi="Calibri"/>
                <w:color w:val="000000"/>
              </w:rPr>
              <w:t>53.0%</w:t>
            </w:r>
          </w:p>
        </w:tc>
      </w:tr>
      <w:tr w:rsidR="00905DF6" w:rsidTr="0026541D">
        <w:trPr>
          <w:jc w:val="center"/>
        </w:trPr>
        <w:tc>
          <w:tcPr>
            <w:tcW w:w="3888" w:type="dxa"/>
            <w:vAlign w:val="bottom"/>
          </w:tcPr>
          <w:p w:rsidR="00905DF6" w:rsidRDefault="00905DF6" w:rsidP="00B8380A">
            <w:r>
              <w:rPr>
                <w:rFonts w:ascii="Calibri" w:hAnsi="Calibri"/>
                <w:color w:val="000000"/>
              </w:rPr>
              <w:t>M</w:t>
            </w:r>
            <w:r w:rsidR="00B8380A">
              <w:rPr>
                <w:rFonts w:ascii="Calibri" w:hAnsi="Calibri"/>
                <w:color w:val="000000"/>
              </w:rPr>
              <w:t>eeting Invites &amp; Room Bookings</w:t>
            </w:r>
          </w:p>
        </w:tc>
        <w:tc>
          <w:tcPr>
            <w:tcW w:w="757" w:type="dxa"/>
            <w:vAlign w:val="bottom"/>
          </w:tcPr>
          <w:p w:rsidR="00905DF6" w:rsidRDefault="00905DF6" w:rsidP="0026541D">
            <w:pPr>
              <w:jc w:val="center"/>
            </w:pPr>
            <w:r>
              <w:rPr>
                <w:rFonts w:ascii="Calibri" w:hAnsi="Calibri"/>
                <w:color w:val="000000"/>
              </w:rPr>
              <w:t>None</w:t>
            </w:r>
          </w:p>
        </w:tc>
        <w:tc>
          <w:tcPr>
            <w:tcW w:w="802" w:type="dxa"/>
            <w:vAlign w:val="bottom"/>
          </w:tcPr>
          <w:p w:rsidR="00905DF6" w:rsidRDefault="00905DF6" w:rsidP="0026541D">
            <w:pPr>
              <w:jc w:val="center"/>
            </w:pPr>
            <w:r>
              <w:rPr>
                <w:rFonts w:ascii="Calibri" w:hAnsi="Calibri"/>
                <w:color w:val="000000"/>
              </w:rPr>
              <w:t>155</w:t>
            </w:r>
          </w:p>
        </w:tc>
        <w:tc>
          <w:tcPr>
            <w:tcW w:w="802" w:type="dxa"/>
            <w:vAlign w:val="bottom"/>
          </w:tcPr>
          <w:p w:rsidR="00905DF6" w:rsidRDefault="00905DF6" w:rsidP="0026541D">
            <w:pPr>
              <w:jc w:val="right"/>
            </w:pPr>
            <w:r>
              <w:rPr>
                <w:rFonts w:ascii="Calibri" w:hAnsi="Calibri"/>
                <w:color w:val="000000"/>
              </w:rPr>
              <w:t>0.0%</w:t>
            </w:r>
          </w:p>
        </w:tc>
        <w:tc>
          <w:tcPr>
            <w:tcW w:w="850" w:type="dxa"/>
            <w:vAlign w:val="bottom"/>
          </w:tcPr>
          <w:p w:rsidR="00905DF6" w:rsidRDefault="00905DF6" w:rsidP="0026541D">
            <w:pPr>
              <w:jc w:val="right"/>
            </w:pPr>
            <w:r>
              <w:rPr>
                <w:rFonts w:ascii="Calibri" w:hAnsi="Calibri"/>
                <w:color w:val="000000"/>
              </w:rPr>
              <w:t>8.0%</w:t>
            </w:r>
          </w:p>
        </w:tc>
      </w:tr>
      <w:tr w:rsidR="00905DF6" w:rsidTr="0026541D">
        <w:trPr>
          <w:jc w:val="center"/>
        </w:trPr>
        <w:tc>
          <w:tcPr>
            <w:tcW w:w="3888" w:type="dxa"/>
            <w:vAlign w:val="bottom"/>
          </w:tcPr>
          <w:p w:rsidR="00905DF6" w:rsidRDefault="00905DF6" w:rsidP="00B8380A">
            <w:r>
              <w:rPr>
                <w:rFonts w:ascii="Calibri" w:hAnsi="Calibri"/>
                <w:color w:val="000000"/>
              </w:rPr>
              <w:t>N</w:t>
            </w:r>
            <w:r w:rsidR="00B8380A">
              <w:rPr>
                <w:rFonts w:ascii="Calibri" w:hAnsi="Calibri"/>
                <w:color w:val="000000"/>
              </w:rPr>
              <w:t>ews &amp; Knowledge</w:t>
            </w:r>
          </w:p>
        </w:tc>
        <w:tc>
          <w:tcPr>
            <w:tcW w:w="757" w:type="dxa"/>
            <w:vAlign w:val="bottom"/>
          </w:tcPr>
          <w:p w:rsidR="00905DF6" w:rsidRDefault="00905DF6" w:rsidP="0026541D">
            <w:pPr>
              <w:jc w:val="center"/>
            </w:pPr>
            <w:r>
              <w:rPr>
                <w:rFonts w:ascii="Calibri" w:hAnsi="Calibri"/>
                <w:color w:val="000000"/>
              </w:rPr>
              <w:t>19</w:t>
            </w:r>
          </w:p>
        </w:tc>
        <w:tc>
          <w:tcPr>
            <w:tcW w:w="802" w:type="dxa"/>
            <w:vAlign w:val="bottom"/>
          </w:tcPr>
          <w:p w:rsidR="00905DF6" w:rsidRDefault="00905DF6" w:rsidP="0026541D">
            <w:pPr>
              <w:jc w:val="center"/>
            </w:pPr>
            <w:r>
              <w:rPr>
                <w:rFonts w:ascii="Calibri" w:hAnsi="Calibri"/>
                <w:color w:val="000000"/>
              </w:rPr>
              <w:t>80</w:t>
            </w:r>
          </w:p>
        </w:tc>
        <w:tc>
          <w:tcPr>
            <w:tcW w:w="802" w:type="dxa"/>
            <w:vAlign w:val="bottom"/>
          </w:tcPr>
          <w:p w:rsidR="00905DF6" w:rsidRDefault="00905DF6" w:rsidP="0026541D">
            <w:pPr>
              <w:jc w:val="right"/>
            </w:pPr>
            <w:r>
              <w:rPr>
                <w:rFonts w:ascii="Calibri" w:hAnsi="Calibri"/>
                <w:color w:val="000000"/>
              </w:rPr>
              <w:t>24.1%</w:t>
            </w:r>
          </w:p>
        </w:tc>
        <w:tc>
          <w:tcPr>
            <w:tcW w:w="850" w:type="dxa"/>
            <w:vAlign w:val="bottom"/>
          </w:tcPr>
          <w:p w:rsidR="00905DF6" w:rsidRDefault="00905DF6" w:rsidP="0026541D">
            <w:pPr>
              <w:jc w:val="right"/>
            </w:pPr>
            <w:r>
              <w:rPr>
                <w:rFonts w:ascii="Calibri" w:hAnsi="Calibri"/>
                <w:color w:val="000000"/>
              </w:rPr>
              <w:t>4.1%</w:t>
            </w:r>
          </w:p>
        </w:tc>
      </w:tr>
      <w:tr w:rsidR="00905DF6" w:rsidTr="0026541D">
        <w:trPr>
          <w:jc w:val="center"/>
        </w:trPr>
        <w:tc>
          <w:tcPr>
            <w:tcW w:w="3888" w:type="dxa"/>
            <w:vAlign w:val="bottom"/>
          </w:tcPr>
          <w:p w:rsidR="00905DF6" w:rsidRDefault="00905DF6" w:rsidP="00B8380A">
            <w:r>
              <w:rPr>
                <w:rFonts w:ascii="Calibri" w:hAnsi="Calibri"/>
                <w:color w:val="000000"/>
              </w:rPr>
              <w:t>P</w:t>
            </w:r>
            <w:r w:rsidR="00B8380A">
              <w:rPr>
                <w:rFonts w:ascii="Calibri" w:hAnsi="Calibri"/>
                <w:color w:val="000000"/>
              </w:rPr>
              <w:t>ension, Salary &amp; Benefits</w:t>
            </w:r>
          </w:p>
        </w:tc>
        <w:tc>
          <w:tcPr>
            <w:tcW w:w="757" w:type="dxa"/>
            <w:vAlign w:val="bottom"/>
          </w:tcPr>
          <w:p w:rsidR="00905DF6" w:rsidRDefault="00905DF6" w:rsidP="0026541D">
            <w:pPr>
              <w:jc w:val="center"/>
            </w:pPr>
            <w:r>
              <w:rPr>
                <w:rFonts w:ascii="Calibri" w:hAnsi="Calibri"/>
                <w:color w:val="000000"/>
              </w:rPr>
              <w:t>1</w:t>
            </w:r>
          </w:p>
        </w:tc>
        <w:tc>
          <w:tcPr>
            <w:tcW w:w="802" w:type="dxa"/>
            <w:vAlign w:val="bottom"/>
          </w:tcPr>
          <w:p w:rsidR="00905DF6" w:rsidRDefault="00905DF6" w:rsidP="0026541D">
            <w:pPr>
              <w:jc w:val="center"/>
            </w:pPr>
            <w:r>
              <w:rPr>
                <w:rFonts w:ascii="Calibri" w:hAnsi="Calibri"/>
                <w:color w:val="000000"/>
              </w:rPr>
              <w:t>33</w:t>
            </w:r>
          </w:p>
        </w:tc>
        <w:tc>
          <w:tcPr>
            <w:tcW w:w="802" w:type="dxa"/>
            <w:vAlign w:val="bottom"/>
          </w:tcPr>
          <w:p w:rsidR="00905DF6" w:rsidRDefault="00905DF6" w:rsidP="0026541D">
            <w:pPr>
              <w:jc w:val="right"/>
            </w:pPr>
            <w:r>
              <w:rPr>
                <w:rFonts w:ascii="Calibri" w:hAnsi="Calibri"/>
                <w:color w:val="000000"/>
              </w:rPr>
              <w:t>1.3%</w:t>
            </w:r>
          </w:p>
        </w:tc>
        <w:tc>
          <w:tcPr>
            <w:tcW w:w="850" w:type="dxa"/>
            <w:vAlign w:val="bottom"/>
          </w:tcPr>
          <w:p w:rsidR="00905DF6" w:rsidRDefault="00905DF6" w:rsidP="0026541D">
            <w:pPr>
              <w:jc w:val="right"/>
            </w:pPr>
            <w:r>
              <w:rPr>
                <w:rFonts w:ascii="Calibri" w:hAnsi="Calibri"/>
                <w:color w:val="000000"/>
              </w:rPr>
              <w:t>1.7%</w:t>
            </w:r>
          </w:p>
        </w:tc>
      </w:tr>
      <w:tr w:rsidR="00905DF6" w:rsidTr="0026541D">
        <w:trPr>
          <w:jc w:val="center"/>
        </w:trPr>
        <w:tc>
          <w:tcPr>
            <w:tcW w:w="3888" w:type="dxa"/>
            <w:vAlign w:val="bottom"/>
          </w:tcPr>
          <w:p w:rsidR="00905DF6" w:rsidRDefault="00905DF6" w:rsidP="00B8380A">
            <w:r>
              <w:rPr>
                <w:rFonts w:ascii="Calibri" w:hAnsi="Calibri"/>
                <w:color w:val="000000"/>
              </w:rPr>
              <w:t>P</w:t>
            </w:r>
            <w:r w:rsidR="00B8380A">
              <w:rPr>
                <w:rFonts w:ascii="Calibri" w:hAnsi="Calibri"/>
                <w:color w:val="000000"/>
              </w:rPr>
              <w:t>ersonal Transactions</w:t>
            </w:r>
          </w:p>
        </w:tc>
        <w:tc>
          <w:tcPr>
            <w:tcW w:w="757" w:type="dxa"/>
            <w:vAlign w:val="bottom"/>
          </w:tcPr>
          <w:p w:rsidR="00905DF6" w:rsidRDefault="00905DF6" w:rsidP="0026541D">
            <w:pPr>
              <w:jc w:val="center"/>
            </w:pPr>
            <w:r>
              <w:rPr>
                <w:rFonts w:ascii="Calibri" w:hAnsi="Calibri"/>
                <w:color w:val="000000"/>
              </w:rPr>
              <w:t>None</w:t>
            </w:r>
          </w:p>
        </w:tc>
        <w:tc>
          <w:tcPr>
            <w:tcW w:w="802" w:type="dxa"/>
            <w:vAlign w:val="bottom"/>
          </w:tcPr>
          <w:p w:rsidR="00905DF6" w:rsidRDefault="00905DF6" w:rsidP="0026541D">
            <w:pPr>
              <w:jc w:val="center"/>
            </w:pPr>
            <w:r>
              <w:rPr>
                <w:rFonts w:ascii="Calibri" w:hAnsi="Calibri"/>
                <w:color w:val="000000"/>
              </w:rPr>
              <w:t>9</w:t>
            </w:r>
          </w:p>
        </w:tc>
        <w:tc>
          <w:tcPr>
            <w:tcW w:w="802" w:type="dxa"/>
            <w:vAlign w:val="bottom"/>
          </w:tcPr>
          <w:p w:rsidR="00905DF6" w:rsidRDefault="00905DF6" w:rsidP="0026541D">
            <w:pPr>
              <w:jc w:val="right"/>
            </w:pPr>
            <w:r>
              <w:rPr>
                <w:rFonts w:ascii="Calibri" w:hAnsi="Calibri"/>
                <w:color w:val="000000"/>
              </w:rPr>
              <w:t>0.0%</w:t>
            </w:r>
          </w:p>
        </w:tc>
        <w:tc>
          <w:tcPr>
            <w:tcW w:w="850" w:type="dxa"/>
            <w:vAlign w:val="bottom"/>
          </w:tcPr>
          <w:p w:rsidR="00905DF6" w:rsidRDefault="00905DF6" w:rsidP="0026541D">
            <w:pPr>
              <w:jc w:val="right"/>
            </w:pPr>
            <w:r>
              <w:rPr>
                <w:rFonts w:ascii="Calibri" w:hAnsi="Calibri"/>
                <w:color w:val="000000"/>
              </w:rPr>
              <w:t>0.5%</w:t>
            </w:r>
          </w:p>
        </w:tc>
      </w:tr>
      <w:tr w:rsidR="00905DF6" w:rsidTr="0026541D">
        <w:trPr>
          <w:jc w:val="center"/>
        </w:trPr>
        <w:tc>
          <w:tcPr>
            <w:tcW w:w="3888" w:type="dxa"/>
            <w:vAlign w:val="bottom"/>
          </w:tcPr>
          <w:p w:rsidR="00905DF6" w:rsidRDefault="00905DF6" w:rsidP="00B8380A">
            <w:r>
              <w:rPr>
                <w:rFonts w:ascii="Calibri" w:hAnsi="Calibri"/>
                <w:color w:val="000000"/>
              </w:rPr>
              <w:t>P</w:t>
            </w:r>
            <w:r w:rsidR="00B8380A">
              <w:rPr>
                <w:rFonts w:ascii="Calibri" w:hAnsi="Calibri"/>
                <w:color w:val="000000"/>
              </w:rPr>
              <w:t>rofessional Bodies</w:t>
            </w:r>
          </w:p>
        </w:tc>
        <w:tc>
          <w:tcPr>
            <w:tcW w:w="757" w:type="dxa"/>
            <w:vAlign w:val="bottom"/>
          </w:tcPr>
          <w:p w:rsidR="00905DF6" w:rsidRDefault="00905DF6" w:rsidP="0026541D">
            <w:pPr>
              <w:jc w:val="center"/>
            </w:pPr>
            <w:r>
              <w:rPr>
                <w:rFonts w:ascii="Calibri" w:hAnsi="Calibri"/>
                <w:color w:val="000000"/>
              </w:rPr>
              <w:t>2</w:t>
            </w:r>
          </w:p>
        </w:tc>
        <w:tc>
          <w:tcPr>
            <w:tcW w:w="802" w:type="dxa"/>
            <w:vAlign w:val="bottom"/>
          </w:tcPr>
          <w:p w:rsidR="00905DF6" w:rsidRDefault="00905DF6" w:rsidP="0026541D">
            <w:pPr>
              <w:jc w:val="center"/>
            </w:pPr>
            <w:r>
              <w:rPr>
                <w:rFonts w:ascii="Calibri" w:hAnsi="Calibri"/>
                <w:color w:val="000000"/>
              </w:rPr>
              <w:t>13</w:t>
            </w:r>
          </w:p>
        </w:tc>
        <w:tc>
          <w:tcPr>
            <w:tcW w:w="802" w:type="dxa"/>
            <w:vAlign w:val="bottom"/>
          </w:tcPr>
          <w:p w:rsidR="00905DF6" w:rsidRDefault="00905DF6" w:rsidP="0026541D">
            <w:pPr>
              <w:jc w:val="right"/>
            </w:pPr>
            <w:r>
              <w:rPr>
                <w:rFonts w:ascii="Calibri" w:hAnsi="Calibri"/>
                <w:color w:val="000000"/>
              </w:rPr>
              <w:t>2.5%</w:t>
            </w:r>
          </w:p>
        </w:tc>
        <w:tc>
          <w:tcPr>
            <w:tcW w:w="850" w:type="dxa"/>
            <w:vAlign w:val="bottom"/>
          </w:tcPr>
          <w:p w:rsidR="00905DF6" w:rsidRDefault="00905DF6" w:rsidP="0026541D">
            <w:pPr>
              <w:jc w:val="right"/>
            </w:pPr>
            <w:r>
              <w:rPr>
                <w:rFonts w:ascii="Calibri" w:hAnsi="Calibri"/>
                <w:color w:val="000000"/>
              </w:rPr>
              <w:t>0.7%</w:t>
            </w:r>
          </w:p>
        </w:tc>
      </w:tr>
      <w:tr w:rsidR="00905DF6" w:rsidTr="0026541D">
        <w:trPr>
          <w:jc w:val="center"/>
        </w:trPr>
        <w:tc>
          <w:tcPr>
            <w:tcW w:w="3888" w:type="dxa"/>
            <w:vAlign w:val="bottom"/>
          </w:tcPr>
          <w:p w:rsidR="00905DF6" w:rsidRDefault="00905DF6" w:rsidP="00B8380A">
            <w:r>
              <w:rPr>
                <w:rFonts w:ascii="Calibri" w:hAnsi="Calibri"/>
                <w:color w:val="000000"/>
              </w:rPr>
              <w:t>S</w:t>
            </w:r>
            <w:r w:rsidR="00B8380A">
              <w:rPr>
                <w:rFonts w:ascii="Calibri" w:hAnsi="Calibri"/>
                <w:color w:val="000000"/>
              </w:rPr>
              <w:t>ocial Club</w:t>
            </w:r>
          </w:p>
        </w:tc>
        <w:tc>
          <w:tcPr>
            <w:tcW w:w="757" w:type="dxa"/>
            <w:vAlign w:val="bottom"/>
          </w:tcPr>
          <w:p w:rsidR="00905DF6" w:rsidRDefault="00905DF6" w:rsidP="0026541D">
            <w:pPr>
              <w:jc w:val="center"/>
            </w:pPr>
            <w:r>
              <w:rPr>
                <w:rFonts w:ascii="Calibri" w:hAnsi="Calibri"/>
                <w:color w:val="000000"/>
              </w:rPr>
              <w:t>20</w:t>
            </w:r>
          </w:p>
        </w:tc>
        <w:tc>
          <w:tcPr>
            <w:tcW w:w="802" w:type="dxa"/>
            <w:vAlign w:val="bottom"/>
          </w:tcPr>
          <w:p w:rsidR="00905DF6" w:rsidRDefault="00905DF6" w:rsidP="0026541D">
            <w:pPr>
              <w:jc w:val="center"/>
            </w:pPr>
            <w:r>
              <w:rPr>
                <w:rFonts w:ascii="Calibri" w:hAnsi="Calibri"/>
                <w:color w:val="000000"/>
              </w:rPr>
              <w:t>None</w:t>
            </w:r>
          </w:p>
        </w:tc>
        <w:tc>
          <w:tcPr>
            <w:tcW w:w="802" w:type="dxa"/>
            <w:vAlign w:val="bottom"/>
          </w:tcPr>
          <w:p w:rsidR="00905DF6" w:rsidRDefault="00905DF6" w:rsidP="0026541D">
            <w:pPr>
              <w:jc w:val="right"/>
            </w:pPr>
            <w:r>
              <w:rPr>
                <w:rFonts w:ascii="Calibri" w:hAnsi="Calibri"/>
                <w:color w:val="000000"/>
              </w:rPr>
              <w:t>25.3%</w:t>
            </w:r>
          </w:p>
        </w:tc>
        <w:tc>
          <w:tcPr>
            <w:tcW w:w="850" w:type="dxa"/>
            <w:vAlign w:val="bottom"/>
          </w:tcPr>
          <w:p w:rsidR="00905DF6" w:rsidRDefault="00905DF6" w:rsidP="0026541D">
            <w:pPr>
              <w:jc w:val="right"/>
            </w:pPr>
            <w:r>
              <w:rPr>
                <w:rFonts w:ascii="Calibri" w:hAnsi="Calibri"/>
                <w:color w:val="000000"/>
              </w:rPr>
              <w:t>0.0%</w:t>
            </w:r>
          </w:p>
        </w:tc>
      </w:tr>
      <w:tr w:rsidR="00905DF6" w:rsidTr="0026541D">
        <w:trPr>
          <w:jc w:val="center"/>
        </w:trPr>
        <w:tc>
          <w:tcPr>
            <w:tcW w:w="3888" w:type="dxa"/>
            <w:vAlign w:val="bottom"/>
          </w:tcPr>
          <w:p w:rsidR="00905DF6" w:rsidRDefault="00905DF6" w:rsidP="00B8380A">
            <w:r>
              <w:rPr>
                <w:rFonts w:ascii="Calibri" w:hAnsi="Calibri"/>
                <w:color w:val="000000"/>
              </w:rPr>
              <w:t>S</w:t>
            </w:r>
            <w:r w:rsidR="00B8380A">
              <w:rPr>
                <w:rFonts w:ascii="Calibri" w:hAnsi="Calibri"/>
                <w:color w:val="000000"/>
              </w:rPr>
              <w:t>ocial Networks</w:t>
            </w:r>
          </w:p>
        </w:tc>
        <w:tc>
          <w:tcPr>
            <w:tcW w:w="757" w:type="dxa"/>
            <w:vAlign w:val="bottom"/>
          </w:tcPr>
          <w:p w:rsidR="00905DF6" w:rsidRDefault="00905DF6" w:rsidP="0026541D">
            <w:pPr>
              <w:jc w:val="center"/>
            </w:pPr>
            <w:r>
              <w:rPr>
                <w:rFonts w:ascii="Calibri" w:hAnsi="Calibri"/>
                <w:color w:val="000000"/>
              </w:rPr>
              <w:t>None</w:t>
            </w:r>
          </w:p>
        </w:tc>
        <w:tc>
          <w:tcPr>
            <w:tcW w:w="802" w:type="dxa"/>
            <w:vAlign w:val="bottom"/>
          </w:tcPr>
          <w:p w:rsidR="00905DF6" w:rsidRDefault="00905DF6" w:rsidP="0026541D">
            <w:pPr>
              <w:jc w:val="center"/>
            </w:pPr>
            <w:r>
              <w:rPr>
                <w:rFonts w:ascii="Calibri" w:hAnsi="Calibri"/>
                <w:color w:val="000000"/>
              </w:rPr>
              <w:t>17</w:t>
            </w:r>
          </w:p>
        </w:tc>
        <w:tc>
          <w:tcPr>
            <w:tcW w:w="802" w:type="dxa"/>
            <w:vAlign w:val="bottom"/>
          </w:tcPr>
          <w:p w:rsidR="00905DF6" w:rsidRDefault="00905DF6" w:rsidP="0026541D">
            <w:pPr>
              <w:jc w:val="right"/>
            </w:pPr>
            <w:r>
              <w:rPr>
                <w:rFonts w:ascii="Calibri" w:hAnsi="Calibri"/>
                <w:color w:val="000000"/>
              </w:rPr>
              <w:t>0.0%</w:t>
            </w:r>
          </w:p>
        </w:tc>
        <w:tc>
          <w:tcPr>
            <w:tcW w:w="850" w:type="dxa"/>
            <w:vAlign w:val="bottom"/>
          </w:tcPr>
          <w:p w:rsidR="00905DF6" w:rsidRDefault="00905DF6" w:rsidP="0026541D">
            <w:pPr>
              <w:jc w:val="right"/>
            </w:pPr>
            <w:r>
              <w:rPr>
                <w:rFonts w:ascii="Calibri" w:hAnsi="Calibri"/>
                <w:color w:val="000000"/>
              </w:rPr>
              <w:t>0.9%</w:t>
            </w:r>
          </w:p>
        </w:tc>
      </w:tr>
      <w:tr w:rsidR="00905DF6" w:rsidTr="0026541D">
        <w:trPr>
          <w:jc w:val="center"/>
        </w:trPr>
        <w:tc>
          <w:tcPr>
            <w:tcW w:w="3888" w:type="dxa"/>
            <w:vAlign w:val="bottom"/>
          </w:tcPr>
          <w:p w:rsidR="00905DF6" w:rsidRDefault="00905DF6" w:rsidP="00B8380A">
            <w:r>
              <w:rPr>
                <w:rFonts w:ascii="Calibri" w:hAnsi="Calibri"/>
                <w:color w:val="000000"/>
              </w:rPr>
              <w:t>S</w:t>
            </w:r>
            <w:r w:rsidR="00B8380A">
              <w:rPr>
                <w:rFonts w:ascii="Calibri" w:hAnsi="Calibri"/>
                <w:color w:val="000000"/>
              </w:rPr>
              <w:t>porting Activities</w:t>
            </w:r>
          </w:p>
        </w:tc>
        <w:tc>
          <w:tcPr>
            <w:tcW w:w="757" w:type="dxa"/>
            <w:vAlign w:val="bottom"/>
          </w:tcPr>
          <w:p w:rsidR="00905DF6" w:rsidRDefault="00905DF6" w:rsidP="0026541D">
            <w:pPr>
              <w:jc w:val="center"/>
            </w:pPr>
            <w:r>
              <w:rPr>
                <w:rFonts w:ascii="Calibri" w:hAnsi="Calibri"/>
                <w:color w:val="000000"/>
              </w:rPr>
              <w:t>None</w:t>
            </w:r>
          </w:p>
        </w:tc>
        <w:tc>
          <w:tcPr>
            <w:tcW w:w="802" w:type="dxa"/>
            <w:vAlign w:val="bottom"/>
          </w:tcPr>
          <w:p w:rsidR="00905DF6" w:rsidRDefault="00905DF6" w:rsidP="0026541D">
            <w:pPr>
              <w:jc w:val="center"/>
            </w:pPr>
            <w:r>
              <w:rPr>
                <w:rFonts w:ascii="Calibri" w:hAnsi="Calibri"/>
                <w:color w:val="000000"/>
              </w:rPr>
              <w:t>16</w:t>
            </w:r>
          </w:p>
        </w:tc>
        <w:tc>
          <w:tcPr>
            <w:tcW w:w="802" w:type="dxa"/>
            <w:vAlign w:val="bottom"/>
          </w:tcPr>
          <w:p w:rsidR="00905DF6" w:rsidRDefault="00905DF6" w:rsidP="0026541D">
            <w:pPr>
              <w:jc w:val="right"/>
            </w:pPr>
            <w:r>
              <w:rPr>
                <w:rFonts w:ascii="Calibri" w:hAnsi="Calibri"/>
                <w:color w:val="000000"/>
              </w:rPr>
              <w:t>0.0%</w:t>
            </w:r>
          </w:p>
        </w:tc>
        <w:tc>
          <w:tcPr>
            <w:tcW w:w="850" w:type="dxa"/>
            <w:vAlign w:val="bottom"/>
          </w:tcPr>
          <w:p w:rsidR="00905DF6" w:rsidRDefault="00905DF6" w:rsidP="0026541D">
            <w:pPr>
              <w:jc w:val="right"/>
            </w:pPr>
            <w:r>
              <w:rPr>
                <w:rFonts w:ascii="Calibri" w:hAnsi="Calibri"/>
                <w:color w:val="000000"/>
              </w:rPr>
              <w:t>0.8%</w:t>
            </w:r>
          </w:p>
        </w:tc>
      </w:tr>
      <w:tr w:rsidR="00905DF6" w:rsidTr="0026541D">
        <w:trPr>
          <w:jc w:val="center"/>
        </w:trPr>
        <w:tc>
          <w:tcPr>
            <w:tcW w:w="3888" w:type="dxa"/>
            <w:vAlign w:val="bottom"/>
          </w:tcPr>
          <w:p w:rsidR="00905DF6" w:rsidRDefault="00905DF6" w:rsidP="00882CA4">
            <w:r>
              <w:rPr>
                <w:rFonts w:ascii="Calibri" w:hAnsi="Calibri"/>
                <w:color w:val="000000"/>
              </w:rPr>
              <w:t>T</w:t>
            </w:r>
            <w:r w:rsidR="00B8380A">
              <w:rPr>
                <w:rFonts w:ascii="Calibri" w:hAnsi="Calibri"/>
                <w:color w:val="000000"/>
              </w:rPr>
              <w:t>raining</w:t>
            </w:r>
          </w:p>
        </w:tc>
        <w:tc>
          <w:tcPr>
            <w:tcW w:w="757" w:type="dxa"/>
            <w:vAlign w:val="bottom"/>
          </w:tcPr>
          <w:p w:rsidR="00905DF6" w:rsidRDefault="00905DF6" w:rsidP="0026541D">
            <w:pPr>
              <w:jc w:val="center"/>
            </w:pPr>
            <w:r>
              <w:rPr>
                <w:rFonts w:ascii="Calibri" w:hAnsi="Calibri"/>
                <w:color w:val="000000"/>
              </w:rPr>
              <w:t>None</w:t>
            </w:r>
          </w:p>
        </w:tc>
        <w:tc>
          <w:tcPr>
            <w:tcW w:w="802" w:type="dxa"/>
            <w:vAlign w:val="bottom"/>
          </w:tcPr>
          <w:p w:rsidR="00905DF6" w:rsidRDefault="00905DF6" w:rsidP="0026541D">
            <w:pPr>
              <w:jc w:val="center"/>
            </w:pPr>
            <w:r>
              <w:rPr>
                <w:rFonts w:ascii="Calibri" w:hAnsi="Calibri"/>
                <w:color w:val="000000"/>
              </w:rPr>
              <w:t>2</w:t>
            </w:r>
          </w:p>
        </w:tc>
        <w:tc>
          <w:tcPr>
            <w:tcW w:w="802" w:type="dxa"/>
            <w:vAlign w:val="bottom"/>
          </w:tcPr>
          <w:p w:rsidR="00905DF6" w:rsidRDefault="00905DF6" w:rsidP="0026541D">
            <w:pPr>
              <w:jc w:val="right"/>
            </w:pPr>
            <w:r>
              <w:rPr>
                <w:rFonts w:ascii="Calibri" w:hAnsi="Calibri"/>
                <w:color w:val="000000"/>
              </w:rPr>
              <w:t>0.0%</w:t>
            </w:r>
          </w:p>
        </w:tc>
        <w:tc>
          <w:tcPr>
            <w:tcW w:w="850" w:type="dxa"/>
            <w:vAlign w:val="bottom"/>
          </w:tcPr>
          <w:p w:rsidR="00905DF6" w:rsidRDefault="00905DF6" w:rsidP="0026541D">
            <w:pPr>
              <w:jc w:val="right"/>
            </w:pPr>
            <w:r>
              <w:rPr>
                <w:rFonts w:ascii="Calibri" w:hAnsi="Calibri"/>
                <w:color w:val="000000"/>
              </w:rPr>
              <w:t>0.1%</w:t>
            </w:r>
          </w:p>
        </w:tc>
      </w:tr>
      <w:tr w:rsidR="00905DF6" w:rsidTr="0026541D">
        <w:trPr>
          <w:jc w:val="center"/>
        </w:trPr>
        <w:tc>
          <w:tcPr>
            <w:tcW w:w="3888" w:type="dxa"/>
            <w:vAlign w:val="bottom"/>
          </w:tcPr>
          <w:p w:rsidR="00905DF6" w:rsidRDefault="00905DF6" w:rsidP="00B8380A">
            <w:r>
              <w:rPr>
                <w:rFonts w:ascii="Calibri" w:hAnsi="Calibri"/>
                <w:color w:val="000000"/>
              </w:rPr>
              <w:t>T</w:t>
            </w:r>
            <w:r w:rsidR="00B8380A">
              <w:rPr>
                <w:rFonts w:ascii="Calibri" w:hAnsi="Calibri"/>
                <w:color w:val="000000"/>
              </w:rPr>
              <w:t>ravel &amp; Expenses</w:t>
            </w:r>
          </w:p>
        </w:tc>
        <w:tc>
          <w:tcPr>
            <w:tcW w:w="757" w:type="dxa"/>
            <w:vAlign w:val="bottom"/>
          </w:tcPr>
          <w:p w:rsidR="00905DF6" w:rsidRDefault="00905DF6" w:rsidP="0026541D">
            <w:pPr>
              <w:jc w:val="center"/>
            </w:pPr>
            <w:r>
              <w:rPr>
                <w:rFonts w:ascii="Calibri" w:hAnsi="Calibri"/>
                <w:color w:val="000000"/>
              </w:rPr>
              <w:t>1</w:t>
            </w:r>
          </w:p>
        </w:tc>
        <w:tc>
          <w:tcPr>
            <w:tcW w:w="802" w:type="dxa"/>
            <w:vAlign w:val="bottom"/>
          </w:tcPr>
          <w:p w:rsidR="00905DF6" w:rsidRDefault="00905DF6" w:rsidP="0026541D">
            <w:pPr>
              <w:jc w:val="center"/>
            </w:pPr>
            <w:r>
              <w:rPr>
                <w:rFonts w:ascii="Calibri" w:hAnsi="Calibri"/>
                <w:color w:val="000000"/>
              </w:rPr>
              <w:t>120</w:t>
            </w:r>
          </w:p>
        </w:tc>
        <w:tc>
          <w:tcPr>
            <w:tcW w:w="802" w:type="dxa"/>
            <w:vAlign w:val="bottom"/>
          </w:tcPr>
          <w:p w:rsidR="00905DF6" w:rsidRDefault="00905DF6" w:rsidP="0026541D">
            <w:pPr>
              <w:jc w:val="right"/>
            </w:pPr>
            <w:r>
              <w:rPr>
                <w:rFonts w:ascii="Calibri" w:hAnsi="Calibri"/>
                <w:color w:val="000000"/>
              </w:rPr>
              <w:t>1.3%</w:t>
            </w:r>
          </w:p>
        </w:tc>
        <w:tc>
          <w:tcPr>
            <w:tcW w:w="850" w:type="dxa"/>
            <w:vAlign w:val="bottom"/>
          </w:tcPr>
          <w:p w:rsidR="00905DF6" w:rsidRDefault="00905DF6" w:rsidP="0026541D">
            <w:pPr>
              <w:jc w:val="right"/>
            </w:pPr>
            <w:r>
              <w:rPr>
                <w:rFonts w:ascii="Calibri" w:hAnsi="Calibri"/>
                <w:color w:val="000000"/>
              </w:rPr>
              <w:t>6.2%</w:t>
            </w:r>
          </w:p>
        </w:tc>
      </w:tr>
      <w:tr w:rsidR="00905DF6" w:rsidTr="0026541D">
        <w:trPr>
          <w:jc w:val="center"/>
        </w:trPr>
        <w:tc>
          <w:tcPr>
            <w:tcW w:w="3888" w:type="dxa"/>
            <w:vAlign w:val="bottom"/>
          </w:tcPr>
          <w:p w:rsidR="00905DF6" w:rsidRDefault="00905DF6" w:rsidP="00882CA4">
            <w:r>
              <w:rPr>
                <w:rFonts w:ascii="Calibri" w:hAnsi="Calibri"/>
                <w:color w:val="000000"/>
              </w:rPr>
              <w:t>U</w:t>
            </w:r>
            <w:r w:rsidR="00B8380A">
              <w:rPr>
                <w:rFonts w:ascii="Calibri" w:hAnsi="Calibri"/>
                <w:color w:val="000000"/>
              </w:rPr>
              <w:t>nion</w:t>
            </w:r>
          </w:p>
        </w:tc>
        <w:tc>
          <w:tcPr>
            <w:tcW w:w="757" w:type="dxa"/>
            <w:vAlign w:val="bottom"/>
          </w:tcPr>
          <w:p w:rsidR="00905DF6" w:rsidRDefault="00905DF6" w:rsidP="0026541D">
            <w:pPr>
              <w:jc w:val="center"/>
            </w:pPr>
            <w:r>
              <w:rPr>
                <w:rFonts w:ascii="Calibri" w:hAnsi="Calibri"/>
                <w:color w:val="000000"/>
              </w:rPr>
              <w:t>3</w:t>
            </w:r>
          </w:p>
        </w:tc>
        <w:tc>
          <w:tcPr>
            <w:tcW w:w="802" w:type="dxa"/>
            <w:vAlign w:val="bottom"/>
          </w:tcPr>
          <w:p w:rsidR="00905DF6" w:rsidRDefault="00905DF6" w:rsidP="0026541D">
            <w:pPr>
              <w:jc w:val="center"/>
            </w:pPr>
            <w:r>
              <w:rPr>
                <w:rFonts w:ascii="Calibri" w:hAnsi="Calibri"/>
                <w:color w:val="000000"/>
              </w:rPr>
              <w:t>None</w:t>
            </w:r>
          </w:p>
        </w:tc>
        <w:tc>
          <w:tcPr>
            <w:tcW w:w="802" w:type="dxa"/>
            <w:vAlign w:val="bottom"/>
          </w:tcPr>
          <w:p w:rsidR="00905DF6" w:rsidRDefault="00905DF6" w:rsidP="0026541D">
            <w:pPr>
              <w:jc w:val="right"/>
            </w:pPr>
            <w:r>
              <w:rPr>
                <w:rFonts w:ascii="Calibri" w:hAnsi="Calibri"/>
                <w:color w:val="000000"/>
              </w:rPr>
              <w:t>3.8%</w:t>
            </w:r>
          </w:p>
        </w:tc>
        <w:tc>
          <w:tcPr>
            <w:tcW w:w="850" w:type="dxa"/>
            <w:vAlign w:val="bottom"/>
          </w:tcPr>
          <w:p w:rsidR="00905DF6" w:rsidRDefault="00905DF6" w:rsidP="0026541D">
            <w:pPr>
              <w:jc w:val="right"/>
            </w:pPr>
            <w:r>
              <w:rPr>
                <w:rFonts w:ascii="Calibri" w:hAnsi="Calibri"/>
                <w:color w:val="000000"/>
              </w:rPr>
              <w:t>0.0%</w:t>
            </w:r>
          </w:p>
        </w:tc>
      </w:tr>
      <w:tr w:rsidR="00905DF6" w:rsidTr="0026541D">
        <w:trPr>
          <w:jc w:val="center"/>
        </w:trPr>
        <w:tc>
          <w:tcPr>
            <w:tcW w:w="3888" w:type="dxa"/>
            <w:vAlign w:val="bottom"/>
          </w:tcPr>
          <w:p w:rsidR="00905DF6" w:rsidRDefault="00905DF6" w:rsidP="00B8380A">
            <w:r>
              <w:rPr>
                <w:rFonts w:ascii="Calibri" w:hAnsi="Calibri"/>
                <w:color w:val="000000"/>
              </w:rPr>
              <w:t>P</w:t>
            </w:r>
            <w:r w:rsidR="00B8380A">
              <w:rPr>
                <w:rFonts w:ascii="Calibri" w:hAnsi="Calibri"/>
                <w:color w:val="000000"/>
              </w:rPr>
              <w:t>arish Council</w:t>
            </w:r>
          </w:p>
        </w:tc>
        <w:tc>
          <w:tcPr>
            <w:tcW w:w="757" w:type="dxa"/>
            <w:vAlign w:val="bottom"/>
          </w:tcPr>
          <w:p w:rsidR="00905DF6" w:rsidRDefault="00905DF6" w:rsidP="0026541D">
            <w:pPr>
              <w:jc w:val="center"/>
            </w:pPr>
            <w:r>
              <w:rPr>
                <w:rFonts w:ascii="Calibri" w:hAnsi="Calibri"/>
                <w:color w:val="000000"/>
              </w:rPr>
              <w:t>None</w:t>
            </w:r>
          </w:p>
        </w:tc>
        <w:tc>
          <w:tcPr>
            <w:tcW w:w="802" w:type="dxa"/>
            <w:vAlign w:val="bottom"/>
          </w:tcPr>
          <w:p w:rsidR="00905DF6" w:rsidRDefault="00905DF6" w:rsidP="0026541D">
            <w:pPr>
              <w:jc w:val="center"/>
            </w:pPr>
            <w:r>
              <w:rPr>
                <w:rFonts w:ascii="Calibri" w:hAnsi="Calibri"/>
                <w:color w:val="000000"/>
              </w:rPr>
              <w:t>63</w:t>
            </w:r>
          </w:p>
        </w:tc>
        <w:tc>
          <w:tcPr>
            <w:tcW w:w="802" w:type="dxa"/>
            <w:vAlign w:val="bottom"/>
          </w:tcPr>
          <w:p w:rsidR="00905DF6" w:rsidRDefault="00905DF6" w:rsidP="0026541D">
            <w:pPr>
              <w:jc w:val="right"/>
            </w:pPr>
            <w:r>
              <w:rPr>
                <w:rFonts w:ascii="Calibri" w:hAnsi="Calibri"/>
                <w:color w:val="000000"/>
              </w:rPr>
              <w:t>0.0%</w:t>
            </w:r>
          </w:p>
        </w:tc>
        <w:tc>
          <w:tcPr>
            <w:tcW w:w="850" w:type="dxa"/>
            <w:vAlign w:val="bottom"/>
          </w:tcPr>
          <w:p w:rsidR="00905DF6" w:rsidRDefault="00905DF6" w:rsidP="0026541D">
            <w:pPr>
              <w:jc w:val="right"/>
            </w:pPr>
            <w:r>
              <w:rPr>
                <w:rFonts w:ascii="Calibri" w:hAnsi="Calibri"/>
                <w:color w:val="000000"/>
              </w:rPr>
              <w:t>3.2%</w:t>
            </w:r>
          </w:p>
        </w:tc>
      </w:tr>
      <w:tr w:rsidR="00905DF6" w:rsidTr="0026541D">
        <w:trPr>
          <w:jc w:val="center"/>
        </w:trPr>
        <w:tc>
          <w:tcPr>
            <w:tcW w:w="3888" w:type="dxa"/>
            <w:vAlign w:val="bottom"/>
          </w:tcPr>
          <w:p w:rsidR="00905DF6" w:rsidRDefault="00905DF6" w:rsidP="00B8380A">
            <w:r>
              <w:rPr>
                <w:rFonts w:ascii="Calibri" w:hAnsi="Calibri"/>
                <w:color w:val="000000"/>
              </w:rPr>
              <w:t>W</w:t>
            </w:r>
            <w:r w:rsidR="00B8380A">
              <w:rPr>
                <w:rFonts w:ascii="Calibri" w:hAnsi="Calibri"/>
                <w:color w:val="000000"/>
              </w:rPr>
              <w:t>rong Address</w:t>
            </w:r>
          </w:p>
        </w:tc>
        <w:tc>
          <w:tcPr>
            <w:tcW w:w="757" w:type="dxa"/>
            <w:vAlign w:val="bottom"/>
          </w:tcPr>
          <w:p w:rsidR="00905DF6" w:rsidRDefault="00905DF6" w:rsidP="0026541D">
            <w:pPr>
              <w:jc w:val="center"/>
            </w:pPr>
            <w:r>
              <w:rPr>
                <w:rFonts w:ascii="Calibri" w:hAnsi="Calibri"/>
                <w:color w:val="000000"/>
              </w:rPr>
              <w:t>None</w:t>
            </w:r>
          </w:p>
        </w:tc>
        <w:tc>
          <w:tcPr>
            <w:tcW w:w="802" w:type="dxa"/>
            <w:vAlign w:val="bottom"/>
          </w:tcPr>
          <w:p w:rsidR="00905DF6" w:rsidRDefault="00905DF6" w:rsidP="0026541D">
            <w:pPr>
              <w:jc w:val="center"/>
            </w:pPr>
            <w:r>
              <w:rPr>
                <w:rFonts w:ascii="Calibri" w:hAnsi="Calibri"/>
                <w:color w:val="000000"/>
              </w:rPr>
              <w:t>2</w:t>
            </w:r>
          </w:p>
        </w:tc>
        <w:tc>
          <w:tcPr>
            <w:tcW w:w="802" w:type="dxa"/>
            <w:vAlign w:val="bottom"/>
          </w:tcPr>
          <w:p w:rsidR="00905DF6" w:rsidRDefault="00905DF6" w:rsidP="0026541D">
            <w:pPr>
              <w:jc w:val="right"/>
            </w:pPr>
            <w:r>
              <w:rPr>
                <w:rFonts w:ascii="Calibri" w:hAnsi="Calibri"/>
                <w:color w:val="000000"/>
              </w:rPr>
              <w:t>0.0%</w:t>
            </w:r>
          </w:p>
        </w:tc>
        <w:tc>
          <w:tcPr>
            <w:tcW w:w="850" w:type="dxa"/>
            <w:vAlign w:val="bottom"/>
          </w:tcPr>
          <w:p w:rsidR="00905DF6" w:rsidRDefault="00905DF6" w:rsidP="0026541D">
            <w:pPr>
              <w:jc w:val="right"/>
            </w:pPr>
            <w:r>
              <w:rPr>
                <w:rFonts w:ascii="Calibri" w:hAnsi="Calibri"/>
                <w:color w:val="000000"/>
              </w:rPr>
              <w:t>0.1%</w:t>
            </w:r>
          </w:p>
        </w:tc>
      </w:tr>
      <w:tr w:rsidR="00905DF6" w:rsidTr="0026541D">
        <w:trPr>
          <w:jc w:val="center"/>
        </w:trPr>
        <w:tc>
          <w:tcPr>
            <w:tcW w:w="3888" w:type="dxa"/>
          </w:tcPr>
          <w:p w:rsidR="00905DF6" w:rsidRPr="00E67C71" w:rsidRDefault="00905DF6" w:rsidP="00882CA4">
            <w:pPr>
              <w:jc w:val="right"/>
              <w:rPr>
                <w:b/>
              </w:rPr>
            </w:pPr>
            <w:r w:rsidRPr="00E67C71">
              <w:rPr>
                <w:b/>
              </w:rPr>
              <w:t>Totals</w:t>
            </w:r>
          </w:p>
        </w:tc>
        <w:tc>
          <w:tcPr>
            <w:tcW w:w="757" w:type="dxa"/>
          </w:tcPr>
          <w:p w:rsidR="00905DF6" w:rsidRPr="00E67C71" w:rsidRDefault="00905DF6" w:rsidP="00480C83">
            <w:pPr>
              <w:jc w:val="center"/>
              <w:rPr>
                <w:b/>
              </w:rPr>
            </w:pPr>
            <w:r>
              <w:rPr>
                <w:b/>
              </w:rPr>
              <w:t>79</w:t>
            </w:r>
          </w:p>
        </w:tc>
        <w:tc>
          <w:tcPr>
            <w:tcW w:w="802" w:type="dxa"/>
          </w:tcPr>
          <w:p w:rsidR="00905DF6" w:rsidRPr="00E67C71" w:rsidRDefault="00905DF6" w:rsidP="00480C83">
            <w:pPr>
              <w:jc w:val="center"/>
              <w:rPr>
                <w:b/>
              </w:rPr>
            </w:pPr>
            <w:r>
              <w:rPr>
                <w:b/>
              </w:rPr>
              <w:t>1943</w:t>
            </w:r>
          </w:p>
        </w:tc>
        <w:tc>
          <w:tcPr>
            <w:tcW w:w="802" w:type="dxa"/>
          </w:tcPr>
          <w:p w:rsidR="00905DF6" w:rsidRPr="00E67C71" w:rsidRDefault="00905DF6" w:rsidP="00480C83">
            <w:pPr>
              <w:jc w:val="center"/>
              <w:rPr>
                <w:b/>
              </w:rPr>
            </w:pPr>
            <w:r>
              <w:rPr>
                <w:b/>
              </w:rPr>
              <w:t>100%</w:t>
            </w:r>
          </w:p>
        </w:tc>
        <w:tc>
          <w:tcPr>
            <w:tcW w:w="850" w:type="dxa"/>
          </w:tcPr>
          <w:p w:rsidR="00905DF6" w:rsidRPr="00E67C71" w:rsidRDefault="00905DF6" w:rsidP="00480C83">
            <w:pPr>
              <w:jc w:val="center"/>
              <w:rPr>
                <w:b/>
              </w:rPr>
            </w:pPr>
            <w:r>
              <w:rPr>
                <w:b/>
              </w:rPr>
              <w:t>100%</w:t>
            </w:r>
          </w:p>
        </w:tc>
      </w:tr>
    </w:tbl>
    <w:p w:rsidR="00A71DE6" w:rsidRDefault="00A71DE6" w:rsidP="00122A34"/>
    <w:p w:rsidR="00CA4196" w:rsidRPr="000A58D2" w:rsidRDefault="00601009" w:rsidP="00122A34">
      <w:pPr>
        <w:rPr>
          <w:b/>
          <w:bCs/>
          <w:u w:val="single"/>
        </w:rPr>
      </w:pPr>
      <w:r>
        <w:rPr>
          <w:b/>
          <w:bCs/>
          <w:u w:val="single"/>
        </w:rPr>
        <w:lastRenderedPageBreak/>
        <w:t>Context</w:t>
      </w:r>
    </w:p>
    <w:p w:rsidR="00196294" w:rsidRDefault="008D2FE8" w:rsidP="00D44449">
      <w:r>
        <w:t>In 1981, Wilson worked in the UK’s National Computing Centre</w:t>
      </w:r>
      <w:r w:rsidR="00A362FD">
        <w:t xml:space="preserve">, </w:t>
      </w:r>
      <w:r>
        <w:t xml:space="preserve">an organisation of </w:t>
      </w:r>
      <w:r w:rsidR="00CA4196">
        <w:t xml:space="preserve">about </w:t>
      </w:r>
      <w:r w:rsidR="00A362FD">
        <w:t xml:space="preserve">two hundred </w:t>
      </w:r>
      <w:r w:rsidR="00CA4196">
        <w:t xml:space="preserve">and fifty </w:t>
      </w:r>
      <w:r w:rsidR="00A362FD">
        <w:t xml:space="preserve">staff </w:t>
      </w:r>
      <w:r>
        <w:t xml:space="preserve">based entirely in the UK and aimed at supporting the UK’s use of computers. He was part of the newly established Office </w:t>
      </w:r>
      <w:r w:rsidR="00DD50BE">
        <w:t>Automation (OA)</w:t>
      </w:r>
      <w:r>
        <w:t xml:space="preserve"> Team which sought to establish best </w:t>
      </w:r>
      <w:r w:rsidR="00A037DF">
        <w:t xml:space="preserve">computing </w:t>
      </w:r>
      <w:r>
        <w:t>practice</w:t>
      </w:r>
      <w:r w:rsidR="00A037DF">
        <w:t xml:space="preserve"> and information</w:t>
      </w:r>
      <w:r>
        <w:t>, and to feed that knowledge back to UK in</w:t>
      </w:r>
      <w:r w:rsidR="00A037DF">
        <w:t>dustry.</w:t>
      </w:r>
      <w:r w:rsidR="00E24BA7">
        <w:t xml:space="preserve"> </w:t>
      </w:r>
      <w:r w:rsidR="005E1B14">
        <w:t xml:space="preserve">Office Systems were very new in 1981. </w:t>
      </w:r>
      <w:r w:rsidR="00A53200">
        <w:t xml:space="preserve">The IBM PC had just emerged but, </w:t>
      </w:r>
      <w:r w:rsidR="005E1B14">
        <w:t>at that point</w:t>
      </w:r>
      <w:r w:rsidR="00A53200">
        <w:t>,</w:t>
      </w:r>
      <w:r w:rsidR="005E1B14">
        <w:t xml:space="preserve"> was running a command line operating system (DOS). Office software was in its infancy. Word Processing was performed by </w:t>
      </w:r>
      <w:r w:rsidR="00CA4196">
        <w:t xml:space="preserve">submitting hand written text to </w:t>
      </w:r>
      <w:r w:rsidR="005E1B14">
        <w:t xml:space="preserve">specialist departments (WP Pools) </w:t>
      </w:r>
      <w:r w:rsidR="00CA4196">
        <w:t xml:space="preserve">which </w:t>
      </w:r>
      <w:r w:rsidR="005E1B14">
        <w:t>us</w:t>
      </w:r>
      <w:r w:rsidR="00CA4196">
        <w:t>ed</w:t>
      </w:r>
      <w:r w:rsidR="005E1B14">
        <w:t xml:space="preserve"> specialist hardware and software. Email was unknown to most people</w:t>
      </w:r>
      <w:r w:rsidR="00D44449">
        <w:t>, and w</w:t>
      </w:r>
      <w:r w:rsidR="005E1B14">
        <w:t>ritten communica</w:t>
      </w:r>
      <w:r w:rsidR="00A037DF">
        <w:t xml:space="preserve">tion, including the dissemination of marketing and advertising material, </w:t>
      </w:r>
      <w:r w:rsidR="005E1B14">
        <w:t xml:space="preserve">was largely achieved by hardcopy overland mail augmented by the long-established </w:t>
      </w:r>
      <w:r w:rsidR="00DD50BE">
        <w:t xml:space="preserve">Telex service (enhanced by </w:t>
      </w:r>
      <w:r w:rsidR="00601009">
        <w:t xml:space="preserve">a </w:t>
      </w:r>
      <w:r w:rsidR="00DD50BE">
        <w:t>new</w:t>
      </w:r>
      <w:r w:rsidR="00601009">
        <w:t>er</w:t>
      </w:r>
      <w:r w:rsidR="00DD50BE">
        <w:t xml:space="preserve"> Teletex system) and an increasingly popular Fax capability. Inside organisations</w:t>
      </w:r>
      <w:r w:rsidR="003A0D8D">
        <w:t>,</w:t>
      </w:r>
      <w:r w:rsidR="00DD50BE">
        <w:t xml:space="preserve"> the internal mail was key</w:t>
      </w:r>
      <w:r w:rsidR="00C6339A">
        <w:t>,</w:t>
      </w:r>
      <w:r w:rsidR="00DD50BE">
        <w:t xml:space="preserve"> with typed </w:t>
      </w:r>
      <w:r w:rsidR="00A53200">
        <w:t xml:space="preserve">internal </w:t>
      </w:r>
      <w:r w:rsidR="00DD50BE">
        <w:t>memos being distributed in internal envelopes by people working for the Mail Room.</w:t>
      </w:r>
    </w:p>
    <w:p w:rsidR="00E91C93" w:rsidRDefault="00400523" w:rsidP="00D44449">
      <w:r>
        <w:t xml:space="preserve">Wilson’s </w:t>
      </w:r>
      <w:r w:rsidR="00DD50BE">
        <w:t>work involved taking an OA topic, exploring the relevant business and academ</w:t>
      </w:r>
      <w:r w:rsidR="00E52C16">
        <w:t>ic literature, visiting leading-</w:t>
      </w:r>
      <w:r w:rsidR="00DD50BE">
        <w:t xml:space="preserve">edge users and disseminating </w:t>
      </w:r>
      <w:r w:rsidR="00196294">
        <w:t>the findings by writing books, briefing n</w:t>
      </w:r>
      <w:r w:rsidR="00DD50BE">
        <w:t>otes</w:t>
      </w:r>
      <w:r w:rsidR="00196294">
        <w:t xml:space="preserve"> and articles</w:t>
      </w:r>
      <w:r w:rsidR="00DD50BE">
        <w:t>,</w:t>
      </w:r>
      <w:r w:rsidR="00196294">
        <w:t xml:space="preserve"> and giving talks and running workshops. </w:t>
      </w:r>
      <w:r w:rsidR="00DD50BE">
        <w:t xml:space="preserve"> </w:t>
      </w:r>
      <w:r w:rsidR="00196294">
        <w:t>He had a large amount of external communication with a diverse range of user, supplier and academic organisations both in the UK and elsewhere in the world. There was also a fair amount of internal communication with colleagues and management, and also with all parts of NCC in his</w:t>
      </w:r>
      <w:r w:rsidR="00DA0D98">
        <w:t xml:space="preserve"> voluntary</w:t>
      </w:r>
      <w:r w:rsidR="00196294">
        <w:t xml:space="preserve"> role as Chairman of the Sports &amp; Social Club. These activities are all reflected in the </w:t>
      </w:r>
      <w:r w:rsidR="00186BB0">
        <w:t xml:space="preserve">comparison of the </w:t>
      </w:r>
      <w:r w:rsidR="00196294">
        <w:t xml:space="preserve">1981 </w:t>
      </w:r>
      <w:r w:rsidR="00186BB0">
        <w:t xml:space="preserve">and 2011 </w:t>
      </w:r>
      <w:r w:rsidR="00196294">
        <w:t>survey data</w:t>
      </w:r>
      <w:r w:rsidR="00C6339A">
        <w:t xml:space="preserve"> </w:t>
      </w:r>
      <w:r w:rsidR="00FB461C">
        <w:t xml:space="preserve">shown in Table </w:t>
      </w:r>
      <w:r w:rsidR="00E52C16">
        <w:t>1</w:t>
      </w:r>
      <w:r w:rsidR="00196294">
        <w:t>.</w:t>
      </w:r>
      <w:r w:rsidR="00C6339A">
        <w:t xml:space="preserve"> </w:t>
      </w:r>
      <w:r w:rsidR="00E91C93">
        <w:t>A Local Area Network with integrated email system was being implemented by the OA group at the time of the survey to provide the team with some hands-on experience of the technology</w:t>
      </w:r>
      <w:r>
        <w:t>,</w:t>
      </w:r>
      <w:r w:rsidR="00A53200">
        <w:t xml:space="preserve"> however,</w:t>
      </w:r>
      <w:r w:rsidR="00CE3983">
        <w:t xml:space="preserve"> </w:t>
      </w:r>
      <w:r w:rsidR="00E91C93">
        <w:t xml:space="preserve">email usage at that point was only just starting and </w:t>
      </w:r>
      <w:r w:rsidR="00DA0D98">
        <w:t xml:space="preserve">was </w:t>
      </w:r>
      <w:r w:rsidR="00E91C93">
        <w:t xml:space="preserve">of a negligible quantity. </w:t>
      </w:r>
    </w:p>
    <w:p w:rsidR="00D94F98" w:rsidRDefault="00A037DF" w:rsidP="00D94F98">
      <w:r>
        <w:t>At the time of the follow-up survey</w:t>
      </w:r>
      <w:r w:rsidR="00E52C16">
        <w:t>,</w:t>
      </w:r>
      <w:r>
        <w:t xml:space="preserve"> 30 years later</w:t>
      </w:r>
      <w:r w:rsidR="004D0B41">
        <w:t xml:space="preserve"> in 2011</w:t>
      </w:r>
      <w:r w:rsidR="003A0D8D">
        <w:t>,</w:t>
      </w:r>
      <w:r>
        <w:t xml:space="preserve"> </w:t>
      </w:r>
      <w:r w:rsidR="00122A34">
        <w:t>Wilson</w:t>
      </w:r>
      <w:r w:rsidR="00A53200">
        <w:t xml:space="preserve"> was working as a Bid M</w:t>
      </w:r>
      <w:r>
        <w:t>anager in the European operation of a global computer services and outsourcing organisation with some 94,000 employees. His role was to assemble and manage specialists in teams of between 10 and 90 people to pursue outsourcing deals valued between $100M and $2.5B. Co</w:t>
      </w:r>
      <w:r w:rsidR="00A03563">
        <w:t>m</w:t>
      </w:r>
      <w:r>
        <w:t xml:space="preserve">munications were primarily within the bid team, </w:t>
      </w:r>
      <w:r w:rsidR="00DA0D98">
        <w:t xml:space="preserve">with </w:t>
      </w:r>
      <w:r>
        <w:t>the organisation’s management, and</w:t>
      </w:r>
      <w:r w:rsidR="00DA0D98">
        <w:t xml:space="preserve"> with</w:t>
      </w:r>
      <w:r>
        <w:t xml:space="preserve"> the po</w:t>
      </w:r>
      <w:r w:rsidR="00A03563">
        <w:t xml:space="preserve">tential client.  Submissions in bidding engagements were typically complex, detailed and very onerous. They required a huge amount of work in very aggressive timescales. To perform at this work rate required constant communication with the team and </w:t>
      </w:r>
      <w:r w:rsidR="00A53200">
        <w:t xml:space="preserve">with </w:t>
      </w:r>
      <w:r w:rsidR="00A03563">
        <w:t>the organisation’s management.  Consequently email volumes were very high and hardcopy was hardly used as a communication mechanism</w:t>
      </w:r>
      <w:r w:rsidR="00F00A1D">
        <w:t>.</w:t>
      </w:r>
      <w:r w:rsidR="00A03563">
        <w:t xml:space="preserve"> </w:t>
      </w:r>
      <w:r w:rsidR="00F00A1D">
        <w:t>T</w:t>
      </w:r>
      <w:r w:rsidR="00A03563">
        <w:t xml:space="preserve">he volume of </w:t>
      </w:r>
      <w:r w:rsidR="00DA0D98">
        <w:t xml:space="preserve">physical </w:t>
      </w:r>
      <w:r w:rsidR="00A03563">
        <w:t xml:space="preserve">mail handled by the mail room was </w:t>
      </w:r>
      <w:r w:rsidR="00400523">
        <w:t>many</w:t>
      </w:r>
      <w:r w:rsidR="003A0D8D">
        <w:t xml:space="preserve"> magnitude</w:t>
      </w:r>
      <w:r w:rsidR="00400523">
        <w:t>s</w:t>
      </w:r>
      <w:r w:rsidR="00A03563">
        <w:t xml:space="preserve"> lower </w:t>
      </w:r>
      <w:r w:rsidR="003A0D8D">
        <w:t>than thirty years earlier. Word</w:t>
      </w:r>
      <w:r w:rsidR="00A03563">
        <w:t xml:space="preserve"> Processing Pools had long since disappeared and individuals at all but the most senior levels in the organisation</w:t>
      </w:r>
      <w:r w:rsidR="003A0D8D">
        <w:t>,</w:t>
      </w:r>
      <w:r w:rsidR="00A53200">
        <w:t xml:space="preserve"> typed their own material.</w:t>
      </w:r>
      <w:r w:rsidR="00A03563">
        <w:t xml:space="preserve"> Telex and Teletex had died completely, and Fax, although now </w:t>
      </w:r>
      <w:r w:rsidR="003827AB">
        <w:t>a fully mature service</w:t>
      </w:r>
      <w:r w:rsidR="00A03563">
        <w:t xml:space="preserve">, was not heavily used. </w:t>
      </w:r>
    </w:p>
    <w:p w:rsidR="00D94F98" w:rsidRPr="00D94F98" w:rsidRDefault="009F2BEF" w:rsidP="00D94F98">
      <w:pPr>
        <w:rPr>
          <w:b/>
          <w:bCs/>
          <w:u w:val="single"/>
        </w:rPr>
      </w:pPr>
      <w:r>
        <w:rPr>
          <w:b/>
          <w:bCs/>
          <w:u w:val="single"/>
        </w:rPr>
        <w:t xml:space="preserve">The Management of </w:t>
      </w:r>
      <w:r w:rsidR="004647C3">
        <w:rPr>
          <w:b/>
          <w:bCs/>
          <w:u w:val="single"/>
        </w:rPr>
        <w:t>Increased Communication Volumes</w:t>
      </w:r>
    </w:p>
    <w:p w:rsidR="009F2BEF" w:rsidRDefault="00D44449" w:rsidP="00D44449">
      <w:r>
        <w:t xml:space="preserve">In </w:t>
      </w:r>
      <w:r w:rsidR="00A03563">
        <w:t>1981</w:t>
      </w:r>
      <w:r w:rsidR="003827AB">
        <w:t>,</w:t>
      </w:r>
      <w:r>
        <w:t xml:space="preserve"> </w:t>
      </w:r>
      <w:r w:rsidR="00A03563">
        <w:t>it was a major chal</w:t>
      </w:r>
      <w:r w:rsidR="003A0D8D">
        <w:t>lenge to manage paper</w:t>
      </w:r>
      <w:r w:rsidR="004D0B41">
        <w:t xml:space="preserve"> in the office, whereas in 2011</w:t>
      </w:r>
      <w:r w:rsidR="00A03563">
        <w:t xml:space="preserve">, although paper was still a bit of a problem, the </w:t>
      </w:r>
      <w:r w:rsidR="003A0D8D">
        <w:t xml:space="preserve">major </w:t>
      </w:r>
      <w:r w:rsidR="00A03563">
        <w:t>challenge was to manage the email.</w:t>
      </w:r>
      <w:r w:rsidR="008D4276">
        <w:t xml:space="preserve"> </w:t>
      </w:r>
      <w:r w:rsidR="00A05407">
        <w:t xml:space="preserve">Table </w:t>
      </w:r>
      <w:r w:rsidR="00905DF6">
        <w:t>2</w:t>
      </w:r>
      <w:r w:rsidR="00A05407">
        <w:t xml:space="preserve"> shows the numbers of </w:t>
      </w:r>
      <w:r w:rsidR="00392F96">
        <w:t xml:space="preserve">written </w:t>
      </w:r>
      <w:r w:rsidR="00A05407">
        <w:t xml:space="preserve">communications </w:t>
      </w:r>
      <w:r w:rsidR="00D80831">
        <w:t>received</w:t>
      </w:r>
      <w:r w:rsidR="00A05407">
        <w:t xml:space="preserve"> </w:t>
      </w:r>
      <w:r w:rsidR="00C74D0B">
        <w:t xml:space="preserve">by Wilson </w:t>
      </w:r>
      <w:r w:rsidR="00720BF2">
        <w:t>over the eight weeks in 1981 and the equivalent eight weeks in 201</w:t>
      </w:r>
      <w:r w:rsidR="00400523">
        <w:t>1</w:t>
      </w:r>
      <w:r w:rsidR="00720BF2">
        <w:t>.</w:t>
      </w:r>
      <w:r w:rsidR="000B625B">
        <w:t xml:space="preserve"> </w:t>
      </w:r>
      <w:r w:rsidR="00C74D0B">
        <w:t>The huge increase in volumes over the two periods can only be partly attributed to the change in the role he was performing</w:t>
      </w:r>
      <w:r w:rsidR="00C86DFC">
        <w:t>.</w:t>
      </w:r>
      <w:r w:rsidR="00C86DFC" w:rsidRPr="00C86DFC">
        <w:t xml:space="preserve"> </w:t>
      </w:r>
      <w:r w:rsidR="009F2BEF">
        <w:t xml:space="preserve"> </w:t>
      </w:r>
      <w:r w:rsidR="00C86DFC">
        <w:t>T</w:t>
      </w:r>
      <w:r w:rsidR="009F2BEF">
        <w:t>he greater flexibility of email has in itself changed communication patterns and increased communication volumes.</w:t>
      </w:r>
      <w:r w:rsidR="000B625B">
        <w:t xml:space="preserve"> Table </w:t>
      </w:r>
      <w:r w:rsidR="00905DF6">
        <w:t>2</w:t>
      </w:r>
      <w:r>
        <w:t xml:space="preserve"> </w:t>
      </w:r>
      <w:r w:rsidR="000B625B">
        <w:t>also shows the number of email</w:t>
      </w:r>
      <w:r w:rsidR="003827AB">
        <w:t>s</w:t>
      </w:r>
      <w:r w:rsidR="000B625B">
        <w:t xml:space="preserve"> sent by Wilson during the 2011 period </w:t>
      </w:r>
      <w:r w:rsidR="000B625B">
        <w:lastRenderedPageBreak/>
        <w:t>since the c</w:t>
      </w:r>
      <w:r w:rsidR="003827AB">
        <w:t>reation</w:t>
      </w:r>
      <w:r w:rsidR="000B625B">
        <w:t xml:space="preserve"> of emails is probably even more demanding than reading them and</w:t>
      </w:r>
      <w:r w:rsidR="00EF609D">
        <w:t xml:space="preserve"> </w:t>
      </w:r>
      <w:r w:rsidR="000B625B">
        <w:t>comprises a significant part of the overall written communications workload.</w:t>
      </w:r>
      <w:r w:rsidR="00504FC2">
        <w:t xml:space="preserve">  </w:t>
      </w:r>
    </w:p>
    <w:p w:rsidR="008D4276" w:rsidRPr="008D4276" w:rsidRDefault="008D4276" w:rsidP="004811F9">
      <w:pPr>
        <w:jc w:val="center"/>
        <w:rPr>
          <w:b/>
          <w:bCs/>
        </w:rPr>
      </w:pPr>
      <w:r w:rsidRPr="008D4276">
        <w:rPr>
          <w:b/>
          <w:bCs/>
        </w:rPr>
        <w:t xml:space="preserve">Table </w:t>
      </w:r>
      <w:r w:rsidR="00905DF6">
        <w:rPr>
          <w:b/>
          <w:bCs/>
        </w:rPr>
        <w:t>2</w:t>
      </w:r>
      <w:r w:rsidRPr="008D4276">
        <w:rPr>
          <w:b/>
          <w:bCs/>
        </w:rPr>
        <w:t xml:space="preserve"> – Number of written communications in each week</w:t>
      </w:r>
      <w:r w:rsidR="00504FC2">
        <w:rPr>
          <w:b/>
          <w:bCs/>
        </w:rPr>
        <w:t xml:space="preserve"> of the comparison period</w:t>
      </w:r>
    </w:p>
    <w:tbl>
      <w:tblPr>
        <w:tblStyle w:val="TableGrid"/>
        <w:tblW w:w="0" w:type="auto"/>
        <w:tblLayout w:type="fixed"/>
        <w:tblLook w:val="04A0"/>
      </w:tblPr>
      <w:tblGrid>
        <w:gridCol w:w="4219"/>
        <w:gridCol w:w="709"/>
        <w:gridCol w:w="709"/>
        <w:gridCol w:w="708"/>
        <w:gridCol w:w="709"/>
        <w:gridCol w:w="709"/>
        <w:gridCol w:w="709"/>
        <w:gridCol w:w="708"/>
        <w:gridCol w:w="782"/>
      </w:tblGrid>
      <w:tr w:rsidR="00E17BAD" w:rsidTr="00E61C70">
        <w:tc>
          <w:tcPr>
            <w:tcW w:w="4219" w:type="dxa"/>
          </w:tcPr>
          <w:p w:rsidR="00A05407" w:rsidRPr="00480C83" w:rsidRDefault="00A05407" w:rsidP="00E238D6">
            <w:pPr>
              <w:rPr>
                <w:sz w:val="20"/>
              </w:rPr>
            </w:pPr>
          </w:p>
        </w:tc>
        <w:tc>
          <w:tcPr>
            <w:tcW w:w="709" w:type="dxa"/>
          </w:tcPr>
          <w:p w:rsidR="00A05407" w:rsidRPr="00480C83" w:rsidRDefault="00A05407" w:rsidP="00E238D6">
            <w:pPr>
              <w:rPr>
                <w:b/>
                <w:sz w:val="20"/>
              </w:rPr>
            </w:pPr>
            <w:r w:rsidRPr="00480C83">
              <w:rPr>
                <w:b/>
                <w:sz w:val="20"/>
              </w:rPr>
              <w:t>Wk 1</w:t>
            </w:r>
          </w:p>
        </w:tc>
        <w:tc>
          <w:tcPr>
            <w:tcW w:w="709" w:type="dxa"/>
          </w:tcPr>
          <w:p w:rsidR="00A05407" w:rsidRPr="00480C83" w:rsidRDefault="00A05407" w:rsidP="00E238D6">
            <w:pPr>
              <w:rPr>
                <w:b/>
                <w:sz w:val="20"/>
              </w:rPr>
            </w:pPr>
            <w:r w:rsidRPr="00480C83">
              <w:rPr>
                <w:b/>
                <w:sz w:val="20"/>
              </w:rPr>
              <w:t>Wk 2</w:t>
            </w:r>
          </w:p>
        </w:tc>
        <w:tc>
          <w:tcPr>
            <w:tcW w:w="708" w:type="dxa"/>
          </w:tcPr>
          <w:p w:rsidR="00A05407" w:rsidRPr="00480C83" w:rsidRDefault="00A05407" w:rsidP="00E238D6">
            <w:pPr>
              <w:rPr>
                <w:b/>
                <w:sz w:val="20"/>
              </w:rPr>
            </w:pPr>
            <w:r w:rsidRPr="00480C83">
              <w:rPr>
                <w:b/>
                <w:sz w:val="20"/>
              </w:rPr>
              <w:t>Wk 3</w:t>
            </w:r>
          </w:p>
        </w:tc>
        <w:tc>
          <w:tcPr>
            <w:tcW w:w="709" w:type="dxa"/>
          </w:tcPr>
          <w:p w:rsidR="00A05407" w:rsidRPr="00480C83" w:rsidRDefault="00A05407" w:rsidP="00E238D6">
            <w:pPr>
              <w:rPr>
                <w:b/>
                <w:sz w:val="20"/>
              </w:rPr>
            </w:pPr>
            <w:r w:rsidRPr="00480C83">
              <w:rPr>
                <w:b/>
                <w:sz w:val="20"/>
              </w:rPr>
              <w:t>Wk 4</w:t>
            </w:r>
          </w:p>
        </w:tc>
        <w:tc>
          <w:tcPr>
            <w:tcW w:w="709" w:type="dxa"/>
          </w:tcPr>
          <w:p w:rsidR="00A05407" w:rsidRPr="00480C83" w:rsidRDefault="00A05407" w:rsidP="00E238D6">
            <w:pPr>
              <w:rPr>
                <w:b/>
                <w:sz w:val="20"/>
              </w:rPr>
            </w:pPr>
            <w:r w:rsidRPr="00480C83">
              <w:rPr>
                <w:b/>
                <w:sz w:val="20"/>
              </w:rPr>
              <w:t>Wk 5</w:t>
            </w:r>
          </w:p>
        </w:tc>
        <w:tc>
          <w:tcPr>
            <w:tcW w:w="709" w:type="dxa"/>
          </w:tcPr>
          <w:p w:rsidR="00A05407" w:rsidRPr="00480C83" w:rsidRDefault="00A05407" w:rsidP="00E238D6">
            <w:pPr>
              <w:rPr>
                <w:b/>
                <w:sz w:val="20"/>
              </w:rPr>
            </w:pPr>
            <w:r w:rsidRPr="00480C83">
              <w:rPr>
                <w:b/>
                <w:sz w:val="20"/>
              </w:rPr>
              <w:t>Wk 6</w:t>
            </w:r>
          </w:p>
        </w:tc>
        <w:tc>
          <w:tcPr>
            <w:tcW w:w="708" w:type="dxa"/>
          </w:tcPr>
          <w:p w:rsidR="00A05407" w:rsidRPr="00480C83" w:rsidRDefault="00A05407" w:rsidP="00E238D6">
            <w:pPr>
              <w:rPr>
                <w:b/>
                <w:sz w:val="20"/>
              </w:rPr>
            </w:pPr>
            <w:r w:rsidRPr="00480C83">
              <w:rPr>
                <w:b/>
                <w:sz w:val="20"/>
              </w:rPr>
              <w:t>Wk 7</w:t>
            </w:r>
          </w:p>
        </w:tc>
        <w:tc>
          <w:tcPr>
            <w:tcW w:w="782" w:type="dxa"/>
          </w:tcPr>
          <w:p w:rsidR="00A05407" w:rsidRPr="00480C83" w:rsidRDefault="00A05407" w:rsidP="00E238D6">
            <w:pPr>
              <w:rPr>
                <w:b/>
                <w:sz w:val="20"/>
              </w:rPr>
            </w:pPr>
            <w:r w:rsidRPr="00480C83">
              <w:rPr>
                <w:b/>
                <w:sz w:val="20"/>
              </w:rPr>
              <w:t>Wk 8</w:t>
            </w:r>
          </w:p>
        </w:tc>
      </w:tr>
      <w:tr w:rsidR="00E17BAD" w:rsidTr="00E61C70">
        <w:tc>
          <w:tcPr>
            <w:tcW w:w="4219" w:type="dxa"/>
          </w:tcPr>
          <w:p w:rsidR="00904950" w:rsidRPr="00480C83" w:rsidRDefault="0097576B" w:rsidP="00E52C16">
            <w:pPr>
              <w:spacing w:before="120" w:after="120" w:line="276" w:lineRule="auto"/>
              <w:rPr>
                <w:b/>
                <w:i/>
                <w:sz w:val="20"/>
              </w:rPr>
            </w:pPr>
            <w:r w:rsidRPr="0097576B">
              <w:rPr>
                <w:b/>
                <w:i/>
                <w:sz w:val="20"/>
              </w:rPr>
              <w:t>Communications Received</w:t>
            </w:r>
          </w:p>
        </w:tc>
        <w:tc>
          <w:tcPr>
            <w:tcW w:w="709" w:type="dxa"/>
          </w:tcPr>
          <w:p w:rsidR="00904950" w:rsidRPr="00480C83" w:rsidRDefault="00904950" w:rsidP="00E238D6">
            <w:pPr>
              <w:rPr>
                <w:sz w:val="20"/>
              </w:rPr>
            </w:pPr>
          </w:p>
        </w:tc>
        <w:tc>
          <w:tcPr>
            <w:tcW w:w="709" w:type="dxa"/>
          </w:tcPr>
          <w:p w:rsidR="00904950" w:rsidRPr="00480C83" w:rsidRDefault="00904950" w:rsidP="00E238D6">
            <w:pPr>
              <w:rPr>
                <w:sz w:val="20"/>
              </w:rPr>
            </w:pPr>
          </w:p>
        </w:tc>
        <w:tc>
          <w:tcPr>
            <w:tcW w:w="708" w:type="dxa"/>
          </w:tcPr>
          <w:p w:rsidR="00904950" w:rsidRPr="00480C83" w:rsidRDefault="00904950" w:rsidP="00E238D6">
            <w:pPr>
              <w:rPr>
                <w:sz w:val="20"/>
              </w:rPr>
            </w:pPr>
          </w:p>
        </w:tc>
        <w:tc>
          <w:tcPr>
            <w:tcW w:w="709" w:type="dxa"/>
          </w:tcPr>
          <w:p w:rsidR="00904950" w:rsidRPr="00480C83" w:rsidRDefault="00904950" w:rsidP="00E238D6">
            <w:pPr>
              <w:rPr>
                <w:sz w:val="20"/>
              </w:rPr>
            </w:pPr>
          </w:p>
        </w:tc>
        <w:tc>
          <w:tcPr>
            <w:tcW w:w="709" w:type="dxa"/>
          </w:tcPr>
          <w:p w:rsidR="00904950" w:rsidRPr="00480C83" w:rsidRDefault="00904950" w:rsidP="00E238D6">
            <w:pPr>
              <w:rPr>
                <w:sz w:val="20"/>
              </w:rPr>
            </w:pPr>
          </w:p>
        </w:tc>
        <w:tc>
          <w:tcPr>
            <w:tcW w:w="709" w:type="dxa"/>
          </w:tcPr>
          <w:p w:rsidR="00904950" w:rsidRPr="00480C83" w:rsidRDefault="00904950" w:rsidP="00E238D6">
            <w:pPr>
              <w:rPr>
                <w:sz w:val="20"/>
              </w:rPr>
            </w:pPr>
          </w:p>
        </w:tc>
        <w:tc>
          <w:tcPr>
            <w:tcW w:w="708" w:type="dxa"/>
          </w:tcPr>
          <w:p w:rsidR="00904950" w:rsidRPr="00480C83" w:rsidRDefault="00904950" w:rsidP="00E238D6">
            <w:pPr>
              <w:rPr>
                <w:sz w:val="20"/>
              </w:rPr>
            </w:pPr>
          </w:p>
        </w:tc>
        <w:tc>
          <w:tcPr>
            <w:tcW w:w="782" w:type="dxa"/>
          </w:tcPr>
          <w:p w:rsidR="00904950" w:rsidRPr="00480C83" w:rsidRDefault="00904950" w:rsidP="00E238D6">
            <w:pPr>
              <w:rPr>
                <w:sz w:val="20"/>
              </w:rPr>
            </w:pPr>
          </w:p>
        </w:tc>
      </w:tr>
      <w:tr w:rsidR="00E17BAD" w:rsidTr="00E61C70">
        <w:tc>
          <w:tcPr>
            <w:tcW w:w="4219" w:type="dxa"/>
          </w:tcPr>
          <w:p w:rsidR="00A05407" w:rsidRPr="00480C83" w:rsidRDefault="00A05407" w:rsidP="00E238D6">
            <w:pPr>
              <w:rPr>
                <w:sz w:val="20"/>
              </w:rPr>
            </w:pPr>
            <w:r w:rsidRPr="00480C83">
              <w:rPr>
                <w:sz w:val="20"/>
              </w:rPr>
              <w:t>1981</w:t>
            </w:r>
            <w:r w:rsidR="009F2BEF" w:rsidRPr="00480C83">
              <w:rPr>
                <w:sz w:val="20"/>
              </w:rPr>
              <w:t xml:space="preserve"> Total</w:t>
            </w:r>
            <w:r w:rsidR="000B625B" w:rsidRPr="00480C83">
              <w:rPr>
                <w:sz w:val="20"/>
              </w:rPr>
              <w:t xml:space="preserve"> received</w:t>
            </w:r>
            <w:r w:rsidR="00904950" w:rsidRPr="00480C83">
              <w:rPr>
                <w:sz w:val="20"/>
              </w:rPr>
              <w:t xml:space="preserve"> (all hardcopy)</w:t>
            </w:r>
          </w:p>
        </w:tc>
        <w:tc>
          <w:tcPr>
            <w:tcW w:w="709" w:type="dxa"/>
          </w:tcPr>
          <w:p w:rsidR="00A05407" w:rsidRPr="00480C83" w:rsidRDefault="00950A81" w:rsidP="00E52C16">
            <w:pPr>
              <w:jc w:val="right"/>
              <w:rPr>
                <w:sz w:val="20"/>
              </w:rPr>
            </w:pPr>
            <w:r w:rsidRPr="00480C83">
              <w:rPr>
                <w:sz w:val="20"/>
              </w:rPr>
              <w:t>9</w:t>
            </w:r>
          </w:p>
        </w:tc>
        <w:tc>
          <w:tcPr>
            <w:tcW w:w="709" w:type="dxa"/>
          </w:tcPr>
          <w:p w:rsidR="00A05407" w:rsidRPr="00480C83" w:rsidRDefault="00950A81" w:rsidP="00E52C16">
            <w:pPr>
              <w:jc w:val="right"/>
              <w:rPr>
                <w:sz w:val="20"/>
              </w:rPr>
            </w:pPr>
            <w:r w:rsidRPr="00480C83">
              <w:rPr>
                <w:sz w:val="20"/>
              </w:rPr>
              <w:t>13</w:t>
            </w:r>
          </w:p>
        </w:tc>
        <w:tc>
          <w:tcPr>
            <w:tcW w:w="708" w:type="dxa"/>
          </w:tcPr>
          <w:p w:rsidR="00A05407" w:rsidRPr="00480C83" w:rsidRDefault="00950A81" w:rsidP="00E52C16">
            <w:pPr>
              <w:jc w:val="right"/>
              <w:rPr>
                <w:sz w:val="20"/>
              </w:rPr>
            </w:pPr>
            <w:r w:rsidRPr="00480C83">
              <w:rPr>
                <w:sz w:val="20"/>
              </w:rPr>
              <w:t>10</w:t>
            </w:r>
          </w:p>
        </w:tc>
        <w:tc>
          <w:tcPr>
            <w:tcW w:w="709" w:type="dxa"/>
          </w:tcPr>
          <w:p w:rsidR="00A05407" w:rsidRPr="00480C83" w:rsidRDefault="00950A81" w:rsidP="00E52C16">
            <w:pPr>
              <w:jc w:val="right"/>
              <w:rPr>
                <w:sz w:val="20"/>
              </w:rPr>
            </w:pPr>
            <w:r w:rsidRPr="00480C83">
              <w:rPr>
                <w:sz w:val="20"/>
              </w:rPr>
              <w:t>10</w:t>
            </w:r>
          </w:p>
        </w:tc>
        <w:tc>
          <w:tcPr>
            <w:tcW w:w="709" w:type="dxa"/>
          </w:tcPr>
          <w:p w:rsidR="00A05407" w:rsidRPr="00480C83" w:rsidRDefault="00950A81" w:rsidP="00E52C16">
            <w:pPr>
              <w:jc w:val="right"/>
              <w:rPr>
                <w:sz w:val="20"/>
              </w:rPr>
            </w:pPr>
            <w:r w:rsidRPr="00480C83">
              <w:rPr>
                <w:sz w:val="20"/>
              </w:rPr>
              <w:t>11</w:t>
            </w:r>
          </w:p>
        </w:tc>
        <w:tc>
          <w:tcPr>
            <w:tcW w:w="709" w:type="dxa"/>
          </w:tcPr>
          <w:p w:rsidR="00A05407" w:rsidRPr="00480C83" w:rsidRDefault="00950A81" w:rsidP="00E52C16">
            <w:pPr>
              <w:jc w:val="right"/>
              <w:rPr>
                <w:sz w:val="20"/>
              </w:rPr>
            </w:pPr>
            <w:r w:rsidRPr="00480C83">
              <w:rPr>
                <w:sz w:val="20"/>
              </w:rPr>
              <w:t>10</w:t>
            </w:r>
          </w:p>
        </w:tc>
        <w:tc>
          <w:tcPr>
            <w:tcW w:w="708" w:type="dxa"/>
          </w:tcPr>
          <w:p w:rsidR="00A05407" w:rsidRPr="00480C83" w:rsidRDefault="00950A81" w:rsidP="00E52C16">
            <w:pPr>
              <w:jc w:val="right"/>
              <w:rPr>
                <w:sz w:val="20"/>
              </w:rPr>
            </w:pPr>
            <w:r w:rsidRPr="00480C83">
              <w:rPr>
                <w:sz w:val="20"/>
              </w:rPr>
              <w:t>8</w:t>
            </w:r>
          </w:p>
        </w:tc>
        <w:tc>
          <w:tcPr>
            <w:tcW w:w="782" w:type="dxa"/>
          </w:tcPr>
          <w:p w:rsidR="00A05407" w:rsidRPr="00480C83" w:rsidRDefault="00950A81" w:rsidP="00E52C16">
            <w:pPr>
              <w:jc w:val="right"/>
              <w:rPr>
                <w:sz w:val="20"/>
              </w:rPr>
            </w:pPr>
            <w:r w:rsidRPr="00480C83">
              <w:rPr>
                <w:sz w:val="20"/>
              </w:rPr>
              <w:t>8</w:t>
            </w:r>
          </w:p>
        </w:tc>
      </w:tr>
      <w:tr w:rsidR="00E17BAD" w:rsidTr="00E61C70">
        <w:tc>
          <w:tcPr>
            <w:tcW w:w="4219" w:type="dxa"/>
          </w:tcPr>
          <w:p w:rsidR="00A05407" w:rsidRPr="00480C83" w:rsidRDefault="00A05407" w:rsidP="00E238D6">
            <w:pPr>
              <w:rPr>
                <w:sz w:val="20"/>
              </w:rPr>
            </w:pPr>
            <w:r w:rsidRPr="00480C83">
              <w:rPr>
                <w:sz w:val="20"/>
              </w:rPr>
              <w:t>2011</w:t>
            </w:r>
            <w:r w:rsidR="009F2BEF" w:rsidRPr="00480C83">
              <w:rPr>
                <w:sz w:val="20"/>
              </w:rPr>
              <w:t xml:space="preserve"> Total</w:t>
            </w:r>
            <w:r w:rsidR="000B625B" w:rsidRPr="00480C83">
              <w:rPr>
                <w:sz w:val="20"/>
              </w:rPr>
              <w:t xml:space="preserve"> received</w:t>
            </w:r>
            <w:r w:rsidR="00E52C16" w:rsidRPr="00480C83">
              <w:rPr>
                <w:sz w:val="20"/>
              </w:rPr>
              <w:t xml:space="preserve"> (hardcopy and email)</w:t>
            </w:r>
          </w:p>
        </w:tc>
        <w:tc>
          <w:tcPr>
            <w:tcW w:w="709" w:type="dxa"/>
          </w:tcPr>
          <w:p w:rsidR="00A05407" w:rsidRPr="00480C83" w:rsidRDefault="00392F96" w:rsidP="00E52C16">
            <w:pPr>
              <w:jc w:val="right"/>
              <w:rPr>
                <w:sz w:val="20"/>
              </w:rPr>
            </w:pPr>
            <w:r w:rsidRPr="00480C83">
              <w:rPr>
                <w:sz w:val="20"/>
              </w:rPr>
              <w:t>24</w:t>
            </w:r>
            <w:r w:rsidR="00720BF2" w:rsidRPr="00480C83">
              <w:rPr>
                <w:sz w:val="20"/>
              </w:rPr>
              <w:t>8</w:t>
            </w:r>
          </w:p>
        </w:tc>
        <w:tc>
          <w:tcPr>
            <w:tcW w:w="709" w:type="dxa"/>
          </w:tcPr>
          <w:p w:rsidR="00A05407" w:rsidRPr="00480C83" w:rsidRDefault="00392F96" w:rsidP="00E52C16">
            <w:pPr>
              <w:jc w:val="right"/>
              <w:rPr>
                <w:sz w:val="20"/>
              </w:rPr>
            </w:pPr>
            <w:r w:rsidRPr="00480C83">
              <w:rPr>
                <w:sz w:val="20"/>
              </w:rPr>
              <w:t>27</w:t>
            </w:r>
            <w:r w:rsidR="00720BF2" w:rsidRPr="00480C83">
              <w:rPr>
                <w:sz w:val="20"/>
              </w:rPr>
              <w:t>6</w:t>
            </w:r>
          </w:p>
        </w:tc>
        <w:tc>
          <w:tcPr>
            <w:tcW w:w="708" w:type="dxa"/>
          </w:tcPr>
          <w:p w:rsidR="00A05407" w:rsidRPr="00480C83" w:rsidRDefault="00392F96" w:rsidP="00E52C16">
            <w:pPr>
              <w:jc w:val="right"/>
              <w:rPr>
                <w:sz w:val="20"/>
              </w:rPr>
            </w:pPr>
            <w:r w:rsidRPr="00480C83">
              <w:rPr>
                <w:sz w:val="20"/>
              </w:rPr>
              <w:t>29</w:t>
            </w:r>
            <w:r w:rsidR="00720BF2" w:rsidRPr="00480C83">
              <w:rPr>
                <w:sz w:val="20"/>
              </w:rPr>
              <w:t>1</w:t>
            </w:r>
          </w:p>
        </w:tc>
        <w:tc>
          <w:tcPr>
            <w:tcW w:w="709" w:type="dxa"/>
          </w:tcPr>
          <w:p w:rsidR="00A05407" w:rsidRPr="00480C83" w:rsidRDefault="00392F96" w:rsidP="00E52C16">
            <w:pPr>
              <w:jc w:val="right"/>
              <w:rPr>
                <w:sz w:val="20"/>
              </w:rPr>
            </w:pPr>
            <w:r w:rsidRPr="00480C83">
              <w:rPr>
                <w:sz w:val="20"/>
              </w:rPr>
              <w:t>24</w:t>
            </w:r>
            <w:r w:rsidR="00720BF2" w:rsidRPr="00480C83">
              <w:rPr>
                <w:sz w:val="20"/>
              </w:rPr>
              <w:t>5</w:t>
            </w:r>
          </w:p>
        </w:tc>
        <w:tc>
          <w:tcPr>
            <w:tcW w:w="709" w:type="dxa"/>
          </w:tcPr>
          <w:p w:rsidR="00A05407" w:rsidRPr="00480C83" w:rsidRDefault="00392F96" w:rsidP="00E52C16">
            <w:pPr>
              <w:jc w:val="right"/>
              <w:rPr>
                <w:sz w:val="20"/>
              </w:rPr>
            </w:pPr>
            <w:r w:rsidRPr="00480C83">
              <w:rPr>
                <w:sz w:val="20"/>
              </w:rPr>
              <w:t>339</w:t>
            </w:r>
          </w:p>
        </w:tc>
        <w:tc>
          <w:tcPr>
            <w:tcW w:w="709" w:type="dxa"/>
          </w:tcPr>
          <w:p w:rsidR="00A05407" w:rsidRPr="00480C83" w:rsidRDefault="00392F96" w:rsidP="00E52C16">
            <w:pPr>
              <w:jc w:val="right"/>
              <w:rPr>
                <w:sz w:val="20"/>
              </w:rPr>
            </w:pPr>
            <w:r w:rsidRPr="00480C83">
              <w:rPr>
                <w:sz w:val="20"/>
              </w:rPr>
              <w:t>19</w:t>
            </w:r>
            <w:r w:rsidR="00720BF2" w:rsidRPr="00480C83">
              <w:rPr>
                <w:sz w:val="20"/>
              </w:rPr>
              <w:t>3</w:t>
            </w:r>
          </w:p>
        </w:tc>
        <w:tc>
          <w:tcPr>
            <w:tcW w:w="708" w:type="dxa"/>
          </w:tcPr>
          <w:p w:rsidR="00A05407" w:rsidRPr="00480C83" w:rsidRDefault="00392F96" w:rsidP="00E52C16">
            <w:pPr>
              <w:jc w:val="right"/>
              <w:rPr>
                <w:sz w:val="20"/>
              </w:rPr>
            </w:pPr>
            <w:r w:rsidRPr="00480C83">
              <w:rPr>
                <w:sz w:val="20"/>
              </w:rPr>
              <w:t>2</w:t>
            </w:r>
            <w:r w:rsidR="00720BF2" w:rsidRPr="00480C83">
              <w:rPr>
                <w:sz w:val="20"/>
              </w:rPr>
              <w:t>10</w:t>
            </w:r>
          </w:p>
        </w:tc>
        <w:tc>
          <w:tcPr>
            <w:tcW w:w="782" w:type="dxa"/>
          </w:tcPr>
          <w:p w:rsidR="00A05407" w:rsidRPr="00480C83" w:rsidRDefault="00392F96" w:rsidP="00E52C16">
            <w:pPr>
              <w:jc w:val="right"/>
              <w:rPr>
                <w:sz w:val="20"/>
              </w:rPr>
            </w:pPr>
            <w:r w:rsidRPr="00480C83">
              <w:rPr>
                <w:sz w:val="20"/>
              </w:rPr>
              <w:t>1</w:t>
            </w:r>
            <w:r w:rsidR="00720BF2" w:rsidRPr="00480C83">
              <w:rPr>
                <w:sz w:val="20"/>
              </w:rPr>
              <w:t>41</w:t>
            </w:r>
          </w:p>
        </w:tc>
      </w:tr>
      <w:tr w:rsidR="00E17BAD" w:rsidTr="00E61C70">
        <w:tc>
          <w:tcPr>
            <w:tcW w:w="4219" w:type="dxa"/>
          </w:tcPr>
          <w:p w:rsidR="009F2BEF" w:rsidRPr="00480C83" w:rsidRDefault="009F2BEF" w:rsidP="00E238D6">
            <w:pPr>
              <w:rPr>
                <w:sz w:val="20"/>
              </w:rPr>
            </w:pPr>
            <w:r w:rsidRPr="00480C83">
              <w:rPr>
                <w:sz w:val="20"/>
              </w:rPr>
              <w:t>2011 Email</w:t>
            </w:r>
            <w:r w:rsidR="000B625B" w:rsidRPr="00480C83">
              <w:rPr>
                <w:sz w:val="20"/>
              </w:rPr>
              <w:t>s received</w:t>
            </w:r>
          </w:p>
        </w:tc>
        <w:tc>
          <w:tcPr>
            <w:tcW w:w="709" w:type="dxa"/>
          </w:tcPr>
          <w:p w:rsidR="009F2BEF" w:rsidRPr="00480C83" w:rsidRDefault="008920EE" w:rsidP="00E52C16">
            <w:pPr>
              <w:jc w:val="right"/>
              <w:rPr>
                <w:sz w:val="20"/>
              </w:rPr>
            </w:pPr>
            <w:r w:rsidRPr="00480C83">
              <w:rPr>
                <w:sz w:val="20"/>
              </w:rPr>
              <w:t>246</w:t>
            </w:r>
          </w:p>
        </w:tc>
        <w:tc>
          <w:tcPr>
            <w:tcW w:w="709" w:type="dxa"/>
          </w:tcPr>
          <w:p w:rsidR="009F2BEF" w:rsidRPr="00480C83" w:rsidRDefault="008920EE" w:rsidP="00E52C16">
            <w:pPr>
              <w:jc w:val="right"/>
              <w:rPr>
                <w:sz w:val="20"/>
              </w:rPr>
            </w:pPr>
            <w:r w:rsidRPr="00480C83">
              <w:rPr>
                <w:sz w:val="20"/>
              </w:rPr>
              <w:t>275</w:t>
            </w:r>
          </w:p>
        </w:tc>
        <w:tc>
          <w:tcPr>
            <w:tcW w:w="708" w:type="dxa"/>
          </w:tcPr>
          <w:p w:rsidR="009F2BEF" w:rsidRPr="00480C83" w:rsidRDefault="008920EE" w:rsidP="00E52C16">
            <w:pPr>
              <w:jc w:val="right"/>
              <w:rPr>
                <w:sz w:val="20"/>
              </w:rPr>
            </w:pPr>
            <w:r w:rsidRPr="00480C83">
              <w:rPr>
                <w:sz w:val="20"/>
              </w:rPr>
              <w:t>290</w:t>
            </w:r>
          </w:p>
        </w:tc>
        <w:tc>
          <w:tcPr>
            <w:tcW w:w="709" w:type="dxa"/>
          </w:tcPr>
          <w:p w:rsidR="009F2BEF" w:rsidRPr="00480C83" w:rsidRDefault="008920EE" w:rsidP="00E52C16">
            <w:pPr>
              <w:jc w:val="right"/>
              <w:rPr>
                <w:sz w:val="20"/>
              </w:rPr>
            </w:pPr>
            <w:r w:rsidRPr="00480C83">
              <w:rPr>
                <w:sz w:val="20"/>
              </w:rPr>
              <w:t>243</w:t>
            </w:r>
          </w:p>
        </w:tc>
        <w:tc>
          <w:tcPr>
            <w:tcW w:w="709" w:type="dxa"/>
          </w:tcPr>
          <w:p w:rsidR="009F2BEF" w:rsidRPr="00480C83" w:rsidRDefault="008920EE" w:rsidP="00E52C16">
            <w:pPr>
              <w:jc w:val="right"/>
              <w:rPr>
                <w:sz w:val="20"/>
              </w:rPr>
            </w:pPr>
            <w:r w:rsidRPr="00480C83">
              <w:rPr>
                <w:sz w:val="20"/>
              </w:rPr>
              <w:t>339</w:t>
            </w:r>
          </w:p>
        </w:tc>
        <w:tc>
          <w:tcPr>
            <w:tcW w:w="709" w:type="dxa"/>
          </w:tcPr>
          <w:p w:rsidR="009F2BEF" w:rsidRPr="00480C83" w:rsidRDefault="008920EE" w:rsidP="00E52C16">
            <w:pPr>
              <w:jc w:val="right"/>
              <w:rPr>
                <w:sz w:val="20"/>
              </w:rPr>
            </w:pPr>
            <w:r w:rsidRPr="00480C83">
              <w:rPr>
                <w:sz w:val="20"/>
              </w:rPr>
              <w:t>191</w:t>
            </w:r>
          </w:p>
        </w:tc>
        <w:tc>
          <w:tcPr>
            <w:tcW w:w="708" w:type="dxa"/>
          </w:tcPr>
          <w:p w:rsidR="009F2BEF" w:rsidRPr="00480C83" w:rsidRDefault="008920EE" w:rsidP="00E52C16">
            <w:pPr>
              <w:jc w:val="right"/>
              <w:rPr>
                <w:sz w:val="20"/>
              </w:rPr>
            </w:pPr>
            <w:r w:rsidRPr="00480C83">
              <w:rPr>
                <w:sz w:val="20"/>
              </w:rPr>
              <w:t>207</w:t>
            </w:r>
          </w:p>
        </w:tc>
        <w:tc>
          <w:tcPr>
            <w:tcW w:w="782" w:type="dxa"/>
          </w:tcPr>
          <w:p w:rsidR="009F2BEF" w:rsidRPr="00480C83" w:rsidRDefault="008920EE" w:rsidP="00E52C16">
            <w:pPr>
              <w:jc w:val="right"/>
              <w:rPr>
                <w:sz w:val="20"/>
              </w:rPr>
            </w:pPr>
            <w:r w:rsidRPr="00480C83">
              <w:rPr>
                <w:sz w:val="20"/>
              </w:rPr>
              <w:t>139</w:t>
            </w:r>
          </w:p>
        </w:tc>
      </w:tr>
      <w:tr w:rsidR="00E17BAD" w:rsidTr="00E61C70">
        <w:tc>
          <w:tcPr>
            <w:tcW w:w="4219" w:type="dxa"/>
          </w:tcPr>
          <w:p w:rsidR="009F2BEF" w:rsidRPr="00480C83" w:rsidRDefault="009F2BEF" w:rsidP="00E238D6">
            <w:pPr>
              <w:rPr>
                <w:sz w:val="20"/>
              </w:rPr>
            </w:pPr>
            <w:r w:rsidRPr="00480C83">
              <w:rPr>
                <w:sz w:val="20"/>
              </w:rPr>
              <w:t xml:space="preserve">2011 </w:t>
            </w:r>
            <w:r w:rsidR="00904950" w:rsidRPr="00480C83">
              <w:rPr>
                <w:sz w:val="20"/>
              </w:rPr>
              <w:t>Hardcopy</w:t>
            </w:r>
            <w:r w:rsidR="000B625B" w:rsidRPr="00480C83">
              <w:rPr>
                <w:sz w:val="20"/>
              </w:rPr>
              <w:t xml:space="preserve"> received</w:t>
            </w:r>
          </w:p>
        </w:tc>
        <w:tc>
          <w:tcPr>
            <w:tcW w:w="709" w:type="dxa"/>
          </w:tcPr>
          <w:p w:rsidR="009F2BEF" w:rsidRPr="00480C83" w:rsidRDefault="008920EE" w:rsidP="00E52C16">
            <w:pPr>
              <w:jc w:val="right"/>
              <w:rPr>
                <w:sz w:val="20"/>
              </w:rPr>
            </w:pPr>
            <w:r w:rsidRPr="00480C83">
              <w:rPr>
                <w:sz w:val="20"/>
              </w:rPr>
              <w:t>2</w:t>
            </w:r>
          </w:p>
        </w:tc>
        <w:tc>
          <w:tcPr>
            <w:tcW w:w="709" w:type="dxa"/>
          </w:tcPr>
          <w:p w:rsidR="009F2BEF" w:rsidRPr="00480C83" w:rsidRDefault="008920EE" w:rsidP="00E52C16">
            <w:pPr>
              <w:jc w:val="right"/>
              <w:rPr>
                <w:sz w:val="20"/>
              </w:rPr>
            </w:pPr>
            <w:r w:rsidRPr="00480C83">
              <w:rPr>
                <w:sz w:val="20"/>
              </w:rPr>
              <w:t>1</w:t>
            </w:r>
          </w:p>
        </w:tc>
        <w:tc>
          <w:tcPr>
            <w:tcW w:w="708" w:type="dxa"/>
          </w:tcPr>
          <w:p w:rsidR="009F2BEF" w:rsidRPr="00480C83" w:rsidRDefault="008920EE" w:rsidP="00E52C16">
            <w:pPr>
              <w:jc w:val="right"/>
              <w:rPr>
                <w:sz w:val="20"/>
              </w:rPr>
            </w:pPr>
            <w:r w:rsidRPr="00480C83">
              <w:rPr>
                <w:sz w:val="20"/>
              </w:rPr>
              <w:t>1</w:t>
            </w:r>
          </w:p>
        </w:tc>
        <w:tc>
          <w:tcPr>
            <w:tcW w:w="709" w:type="dxa"/>
          </w:tcPr>
          <w:p w:rsidR="009F2BEF" w:rsidRPr="00480C83" w:rsidRDefault="008920EE" w:rsidP="00E52C16">
            <w:pPr>
              <w:jc w:val="right"/>
              <w:rPr>
                <w:sz w:val="20"/>
              </w:rPr>
            </w:pPr>
            <w:r w:rsidRPr="00480C83">
              <w:rPr>
                <w:sz w:val="20"/>
              </w:rPr>
              <w:t>2</w:t>
            </w:r>
          </w:p>
        </w:tc>
        <w:tc>
          <w:tcPr>
            <w:tcW w:w="709" w:type="dxa"/>
          </w:tcPr>
          <w:p w:rsidR="009F2BEF" w:rsidRPr="00480C83" w:rsidRDefault="008920EE" w:rsidP="00E52C16">
            <w:pPr>
              <w:jc w:val="right"/>
              <w:rPr>
                <w:sz w:val="20"/>
              </w:rPr>
            </w:pPr>
            <w:r w:rsidRPr="00480C83">
              <w:rPr>
                <w:sz w:val="20"/>
              </w:rPr>
              <w:t>0</w:t>
            </w:r>
          </w:p>
        </w:tc>
        <w:tc>
          <w:tcPr>
            <w:tcW w:w="709" w:type="dxa"/>
          </w:tcPr>
          <w:p w:rsidR="009F2BEF" w:rsidRPr="00480C83" w:rsidRDefault="008920EE" w:rsidP="00E52C16">
            <w:pPr>
              <w:jc w:val="right"/>
              <w:rPr>
                <w:sz w:val="20"/>
              </w:rPr>
            </w:pPr>
            <w:r w:rsidRPr="00480C83">
              <w:rPr>
                <w:sz w:val="20"/>
              </w:rPr>
              <w:t>2</w:t>
            </w:r>
          </w:p>
        </w:tc>
        <w:tc>
          <w:tcPr>
            <w:tcW w:w="708" w:type="dxa"/>
          </w:tcPr>
          <w:p w:rsidR="009F2BEF" w:rsidRPr="00480C83" w:rsidRDefault="008920EE" w:rsidP="00E52C16">
            <w:pPr>
              <w:jc w:val="right"/>
              <w:rPr>
                <w:sz w:val="20"/>
              </w:rPr>
            </w:pPr>
            <w:r w:rsidRPr="00480C83">
              <w:rPr>
                <w:sz w:val="20"/>
              </w:rPr>
              <w:t>3</w:t>
            </w:r>
          </w:p>
        </w:tc>
        <w:tc>
          <w:tcPr>
            <w:tcW w:w="782" w:type="dxa"/>
          </w:tcPr>
          <w:p w:rsidR="009F2BEF" w:rsidRPr="00480C83" w:rsidRDefault="008920EE" w:rsidP="00E52C16">
            <w:pPr>
              <w:jc w:val="right"/>
              <w:rPr>
                <w:sz w:val="20"/>
              </w:rPr>
            </w:pPr>
            <w:r w:rsidRPr="00480C83">
              <w:rPr>
                <w:sz w:val="20"/>
              </w:rPr>
              <w:t>2</w:t>
            </w:r>
          </w:p>
        </w:tc>
      </w:tr>
      <w:tr w:rsidR="00882CA4" w:rsidTr="00E61C70">
        <w:tc>
          <w:tcPr>
            <w:tcW w:w="4219" w:type="dxa"/>
          </w:tcPr>
          <w:p w:rsidR="00882CA4" w:rsidRPr="00480C83" w:rsidRDefault="00882CA4" w:rsidP="00882CA4">
            <w:pPr>
              <w:rPr>
                <w:sz w:val="20"/>
              </w:rPr>
            </w:pPr>
            <w:r w:rsidRPr="00480C83">
              <w:rPr>
                <w:sz w:val="20"/>
              </w:rPr>
              <w:t>1981</w:t>
            </w:r>
            <w:r w:rsidR="00480C83">
              <w:rPr>
                <w:sz w:val="20"/>
              </w:rPr>
              <w:t xml:space="preserve"> Hardcopy received on Saturday or </w:t>
            </w:r>
            <w:r w:rsidRPr="00480C83">
              <w:rPr>
                <w:sz w:val="20"/>
              </w:rPr>
              <w:t>Sunday</w:t>
            </w:r>
          </w:p>
        </w:tc>
        <w:tc>
          <w:tcPr>
            <w:tcW w:w="709" w:type="dxa"/>
          </w:tcPr>
          <w:p w:rsidR="00882CA4" w:rsidRPr="00480C83" w:rsidRDefault="00882CA4" w:rsidP="00882CA4">
            <w:pPr>
              <w:jc w:val="right"/>
              <w:rPr>
                <w:sz w:val="20"/>
              </w:rPr>
            </w:pPr>
            <w:r w:rsidRPr="00480C83">
              <w:rPr>
                <w:sz w:val="20"/>
              </w:rPr>
              <w:t>0</w:t>
            </w:r>
          </w:p>
        </w:tc>
        <w:tc>
          <w:tcPr>
            <w:tcW w:w="709" w:type="dxa"/>
          </w:tcPr>
          <w:p w:rsidR="00882CA4" w:rsidRPr="00480C83" w:rsidRDefault="00882CA4" w:rsidP="00E52C16">
            <w:pPr>
              <w:jc w:val="right"/>
              <w:rPr>
                <w:sz w:val="20"/>
              </w:rPr>
            </w:pPr>
            <w:r w:rsidRPr="00480C83">
              <w:rPr>
                <w:sz w:val="20"/>
              </w:rPr>
              <w:t>0</w:t>
            </w:r>
          </w:p>
        </w:tc>
        <w:tc>
          <w:tcPr>
            <w:tcW w:w="708" w:type="dxa"/>
          </w:tcPr>
          <w:p w:rsidR="00882CA4" w:rsidRPr="00480C83" w:rsidRDefault="00882CA4" w:rsidP="00E52C16">
            <w:pPr>
              <w:jc w:val="right"/>
              <w:rPr>
                <w:sz w:val="20"/>
              </w:rPr>
            </w:pPr>
            <w:r w:rsidRPr="00480C83">
              <w:rPr>
                <w:sz w:val="20"/>
              </w:rPr>
              <w:t>0</w:t>
            </w:r>
          </w:p>
        </w:tc>
        <w:tc>
          <w:tcPr>
            <w:tcW w:w="709" w:type="dxa"/>
          </w:tcPr>
          <w:p w:rsidR="00882CA4" w:rsidRPr="00480C83" w:rsidRDefault="00882CA4" w:rsidP="00E52C16">
            <w:pPr>
              <w:jc w:val="right"/>
              <w:rPr>
                <w:sz w:val="20"/>
              </w:rPr>
            </w:pPr>
            <w:r w:rsidRPr="00480C83">
              <w:rPr>
                <w:sz w:val="20"/>
              </w:rPr>
              <w:t>0</w:t>
            </w:r>
          </w:p>
        </w:tc>
        <w:tc>
          <w:tcPr>
            <w:tcW w:w="709" w:type="dxa"/>
          </w:tcPr>
          <w:p w:rsidR="00882CA4" w:rsidRPr="00480C83" w:rsidRDefault="00882CA4" w:rsidP="00E52C16">
            <w:pPr>
              <w:jc w:val="right"/>
              <w:rPr>
                <w:sz w:val="20"/>
              </w:rPr>
            </w:pPr>
            <w:r w:rsidRPr="00480C83">
              <w:rPr>
                <w:sz w:val="20"/>
              </w:rPr>
              <w:t>0</w:t>
            </w:r>
          </w:p>
        </w:tc>
        <w:tc>
          <w:tcPr>
            <w:tcW w:w="709" w:type="dxa"/>
          </w:tcPr>
          <w:p w:rsidR="00882CA4" w:rsidRPr="00480C83" w:rsidRDefault="00882CA4" w:rsidP="00E52C16">
            <w:pPr>
              <w:jc w:val="right"/>
              <w:rPr>
                <w:sz w:val="20"/>
              </w:rPr>
            </w:pPr>
            <w:r w:rsidRPr="00480C83">
              <w:rPr>
                <w:sz w:val="20"/>
              </w:rPr>
              <w:t>0</w:t>
            </w:r>
          </w:p>
        </w:tc>
        <w:tc>
          <w:tcPr>
            <w:tcW w:w="708" w:type="dxa"/>
          </w:tcPr>
          <w:p w:rsidR="00882CA4" w:rsidRPr="00480C83" w:rsidRDefault="00882CA4" w:rsidP="00E52C16">
            <w:pPr>
              <w:jc w:val="right"/>
              <w:rPr>
                <w:sz w:val="20"/>
              </w:rPr>
            </w:pPr>
            <w:r w:rsidRPr="00480C83">
              <w:rPr>
                <w:sz w:val="20"/>
              </w:rPr>
              <w:t>0</w:t>
            </w:r>
          </w:p>
        </w:tc>
        <w:tc>
          <w:tcPr>
            <w:tcW w:w="782" w:type="dxa"/>
          </w:tcPr>
          <w:p w:rsidR="00882CA4" w:rsidRPr="00480C83" w:rsidRDefault="00882CA4" w:rsidP="00E52C16">
            <w:pPr>
              <w:jc w:val="right"/>
              <w:rPr>
                <w:sz w:val="20"/>
              </w:rPr>
            </w:pPr>
            <w:r w:rsidRPr="00480C83">
              <w:rPr>
                <w:sz w:val="20"/>
              </w:rPr>
              <w:t>0</w:t>
            </w:r>
          </w:p>
        </w:tc>
      </w:tr>
      <w:tr w:rsidR="00E61C70" w:rsidTr="00E61C70">
        <w:tc>
          <w:tcPr>
            <w:tcW w:w="4219" w:type="dxa"/>
          </w:tcPr>
          <w:p w:rsidR="00E61C70" w:rsidRPr="00480C83" w:rsidRDefault="00E61C70" w:rsidP="00480C83">
            <w:pPr>
              <w:rPr>
                <w:sz w:val="20"/>
              </w:rPr>
            </w:pPr>
            <w:r w:rsidRPr="00480C83">
              <w:rPr>
                <w:sz w:val="20"/>
              </w:rPr>
              <w:t xml:space="preserve">2011 Emails received </w:t>
            </w:r>
            <w:r w:rsidR="00480C83">
              <w:rPr>
                <w:sz w:val="20"/>
              </w:rPr>
              <w:t>on Saturday or Sunday</w:t>
            </w:r>
          </w:p>
        </w:tc>
        <w:tc>
          <w:tcPr>
            <w:tcW w:w="709" w:type="dxa"/>
          </w:tcPr>
          <w:p w:rsidR="00E61C70" w:rsidRPr="00480C83" w:rsidRDefault="00E61C70" w:rsidP="00E52C16">
            <w:pPr>
              <w:jc w:val="right"/>
              <w:rPr>
                <w:sz w:val="20"/>
              </w:rPr>
            </w:pPr>
            <w:r w:rsidRPr="00480C83">
              <w:rPr>
                <w:sz w:val="20"/>
              </w:rPr>
              <w:t>8</w:t>
            </w:r>
          </w:p>
        </w:tc>
        <w:tc>
          <w:tcPr>
            <w:tcW w:w="709" w:type="dxa"/>
          </w:tcPr>
          <w:p w:rsidR="00E61C70" w:rsidRPr="00480C83" w:rsidRDefault="00E61C70" w:rsidP="00E52C16">
            <w:pPr>
              <w:jc w:val="right"/>
              <w:rPr>
                <w:sz w:val="20"/>
              </w:rPr>
            </w:pPr>
            <w:r w:rsidRPr="00480C83">
              <w:rPr>
                <w:sz w:val="20"/>
              </w:rPr>
              <w:t>18</w:t>
            </w:r>
          </w:p>
        </w:tc>
        <w:tc>
          <w:tcPr>
            <w:tcW w:w="708" w:type="dxa"/>
          </w:tcPr>
          <w:p w:rsidR="00E61C70" w:rsidRPr="00480C83" w:rsidRDefault="00E61C70" w:rsidP="00E52C16">
            <w:pPr>
              <w:jc w:val="right"/>
              <w:rPr>
                <w:sz w:val="20"/>
              </w:rPr>
            </w:pPr>
            <w:r w:rsidRPr="00480C83">
              <w:rPr>
                <w:sz w:val="20"/>
              </w:rPr>
              <w:t>8</w:t>
            </w:r>
          </w:p>
        </w:tc>
        <w:tc>
          <w:tcPr>
            <w:tcW w:w="709" w:type="dxa"/>
          </w:tcPr>
          <w:p w:rsidR="00E61C70" w:rsidRPr="00480C83" w:rsidRDefault="00E61C70" w:rsidP="00E52C16">
            <w:pPr>
              <w:jc w:val="right"/>
              <w:rPr>
                <w:sz w:val="20"/>
              </w:rPr>
            </w:pPr>
            <w:r w:rsidRPr="00480C83">
              <w:rPr>
                <w:sz w:val="20"/>
              </w:rPr>
              <w:t>15</w:t>
            </w:r>
          </w:p>
        </w:tc>
        <w:tc>
          <w:tcPr>
            <w:tcW w:w="709" w:type="dxa"/>
          </w:tcPr>
          <w:p w:rsidR="00E61C70" w:rsidRPr="00480C83" w:rsidRDefault="00E61C70" w:rsidP="00E52C16">
            <w:pPr>
              <w:jc w:val="right"/>
              <w:rPr>
                <w:sz w:val="20"/>
              </w:rPr>
            </w:pPr>
            <w:r w:rsidRPr="00480C83">
              <w:rPr>
                <w:sz w:val="20"/>
              </w:rPr>
              <w:t>29</w:t>
            </w:r>
          </w:p>
        </w:tc>
        <w:tc>
          <w:tcPr>
            <w:tcW w:w="709" w:type="dxa"/>
          </w:tcPr>
          <w:p w:rsidR="00E61C70" w:rsidRPr="00480C83" w:rsidRDefault="00E61C70" w:rsidP="00E52C16">
            <w:pPr>
              <w:jc w:val="right"/>
              <w:rPr>
                <w:sz w:val="20"/>
              </w:rPr>
            </w:pPr>
            <w:r w:rsidRPr="00480C83">
              <w:rPr>
                <w:sz w:val="20"/>
              </w:rPr>
              <w:t>16</w:t>
            </w:r>
          </w:p>
        </w:tc>
        <w:tc>
          <w:tcPr>
            <w:tcW w:w="708" w:type="dxa"/>
          </w:tcPr>
          <w:p w:rsidR="00E61C70" w:rsidRPr="00480C83" w:rsidRDefault="00E61C70" w:rsidP="00E52C16">
            <w:pPr>
              <w:jc w:val="right"/>
              <w:rPr>
                <w:sz w:val="20"/>
              </w:rPr>
            </w:pPr>
            <w:r w:rsidRPr="00480C83">
              <w:rPr>
                <w:sz w:val="20"/>
              </w:rPr>
              <w:t>10</w:t>
            </w:r>
          </w:p>
        </w:tc>
        <w:tc>
          <w:tcPr>
            <w:tcW w:w="782" w:type="dxa"/>
          </w:tcPr>
          <w:p w:rsidR="00E61C70" w:rsidRPr="00480C83" w:rsidRDefault="00E61C70" w:rsidP="00E52C16">
            <w:pPr>
              <w:jc w:val="right"/>
              <w:rPr>
                <w:sz w:val="20"/>
              </w:rPr>
            </w:pPr>
            <w:r w:rsidRPr="00480C83">
              <w:rPr>
                <w:sz w:val="20"/>
              </w:rPr>
              <w:t>14</w:t>
            </w:r>
          </w:p>
        </w:tc>
      </w:tr>
      <w:tr w:rsidR="00E17BAD" w:rsidTr="00E61C70">
        <w:tc>
          <w:tcPr>
            <w:tcW w:w="4219" w:type="dxa"/>
          </w:tcPr>
          <w:p w:rsidR="00904950" w:rsidRPr="00480C83" w:rsidRDefault="0097576B" w:rsidP="00E52C16">
            <w:pPr>
              <w:spacing w:before="120" w:after="120" w:line="276" w:lineRule="auto"/>
              <w:rPr>
                <w:b/>
                <w:i/>
                <w:sz w:val="20"/>
              </w:rPr>
            </w:pPr>
            <w:r w:rsidRPr="0097576B">
              <w:rPr>
                <w:b/>
                <w:i/>
                <w:sz w:val="20"/>
              </w:rPr>
              <w:t>Communications Sent</w:t>
            </w:r>
          </w:p>
        </w:tc>
        <w:tc>
          <w:tcPr>
            <w:tcW w:w="709" w:type="dxa"/>
          </w:tcPr>
          <w:p w:rsidR="00904950" w:rsidRPr="00480C83" w:rsidRDefault="00904950" w:rsidP="00E238D6">
            <w:pPr>
              <w:rPr>
                <w:sz w:val="20"/>
              </w:rPr>
            </w:pPr>
          </w:p>
        </w:tc>
        <w:tc>
          <w:tcPr>
            <w:tcW w:w="709" w:type="dxa"/>
          </w:tcPr>
          <w:p w:rsidR="00904950" w:rsidRPr="00480C83" w:rsidRDefault="00904950" w:rsidP="00E238D6">
            <w:pPr>
              <w:rPr>
                <w:sz w:val="20"/>
              </w:rPr>
            </w:pPr>
          </w:p>
        </w:tc>
        <w:tc>
          <w:tcPr>
            <w:tcW w:w="708" w:type="dxa"/>
          </w:tcPr>
          <w:p w:rsidR="00904950" w:rsidRPr="00480C83" w:rsidRDefault="00904950" w:rsidP="00E238D6">
            <w:pPr>
              <w:rPr>
                <w:sz w:val="20"/>
              </w:rPr>
            </w:pPr>
          </w:p>
        </w:tc>
        <w:tc>
          <w:tcPr>
            <w:tcW w:w="709" w:type="dxa"/>
          </w:tcPr>
          <w:p w:rsidR="00904950" w:rsidRPr="00480C83" w:rsidRDefault="00904950" w:rsidP="00E238D6">
            <w:pPr>
              <w:rPr>
                <w:sz w:val="20"/>
              </w:rPr>
            </w:pPr>
          </w:p>
        </w:tc>
        <w:tc>
          <w:tcPr>
            <w:tcW w:w="709" w:type="dxa"/>
          </w:tcPr>
          <w:p w:rsidR="00904950" w:rsidRPr="00480C83" w:rsidRDefault="00904950" w:rsidP="00E238D6">
            <w:pPr>
              <w:rPr>
                <w:sz w:val="20"/>
              </w:rPr>
            </w:pPr>
          </w:p>
        </w:tc>
        <w:tc>
          <w:tcPr>
            <w:tcW w:w="709" w:type="dxa"/>
          </w:tcPr>
          <w:p w:rsidR="00904950" w:rsidRPr="00480C83" w:rsidRDefault="00904950" w:rsidP="00E238D6">
            <w:pPr>
              <w:rPr>
                <w:sz w:val="20"/>
              </w:rPr>
            </w:pPr>
          </w:p>
        </w:tc>
        <w:tc>
          <w:tcPr>
            <w:tcW w:w="708" w:type="dxa"/>
          </w:tcPr>
          <w:p w:rsidR="00904950" w:rsidRPr="00480C83" w:rsidRDefault="00904950" w:rsidP="00E238D6">
            <w:pPr>
              <w:rPr>
                <w:sz w:val="20"/>
              </w:rPr>
            </w:pPr>
          </w:p>
        </w:tc>
        <w:tc>
          <w:tcPr>
            <w:tcW w:w="782" w:type="dxa"/>
          </w:tcPr>
          <w:p w:rsidR="00904950" w:rsidRPr="00480C83" w:rsidRDefault="00904950" w:rsidP="00E238D6">
            <w:pPr>
              <w:rPr>
                <w:sz w:val="20"/>
              </w:rPr>
            </w:pPr>
          </w:p>
        </w:tc>
      </w:tr>
      <w:tr w:rsidR="00E17BAD" w:rsidTr="00E52C16">
        <w:tc>
          <w:tcPr>
            <w:tcW w:w="4219" w:type="dxa"/>
          </w:tcPr>
          <w:p w:rsidR="00E17BAD" w:rsidRPr="00480C83" w:rsidRDefault="00E17BAD" w:rsidP="00E238D6">
            <w:pPr>
              <w:rPr>
                <w:sz w:val="20"/>
              </w:rPr>
            </w:pPr>
            <w:r w:rsidRPr="00480C83">
              <w:rPr>
                <w:sz w:val="20"/>
              </w:rPr>
              <w:t>1981 Total sent (all hardcopy)</w:t>
            </w:r>
          </w:p>
        </w:tc>
        <w:tc>
          <w:tcPr>
            <w:tcW w:w="5743" w:type="dxa"/>
            <w:gridSpan w:val="8"/>
          </w:tcPr>
          <w:p w:rsidR="00E17BAD" w:rsidRPr="00480C83" w:rsidRDefault="00E17BAD" w:rsidP="00E238D6">
            <w:pPr>
              <w:rPr>
                <w:i/>
                <w:sz w:val="20"/>
              </w:rPr>
            </w:pPr>
            <w:r w:rsidRPr="00480C83">
              <w:rPr>
                <w:i/>
                <w:sz w:val="20"/>
              </w:rPr>
              <w:t>Data not collected</w:t>
            </w:r>
            <w:r w:rsidR="0080710F">
              <w:rPr>
                <w:i/>
                <w:sz w:val="20"/>
              </w:rPr>
              <w:t xml:space="preserve"> (but none was sent at</w:t>
            </w:r>
            <w:r w:rsidR="00882CA4" w:rsidRPr="00480C83">
              <w:rPr>
                <w:i/>
                <w:sz w:val="20"/>
              </w:rPr>
              <w:t xml:space="preserve"> weekends)</w:t>
            </w:r>
          </w:p>
        </w:tc>
      </w:tr>
      <w:tr w:rsidR="00E17BAD" w:rsidTr="00E61C70">
        <w:tc>
          <w:tcPr>
            <w:tcW w:w="4219" w:type="dxa"/>
          </w:tcPr>
          <w:p w:rsidR="000B625B" w:rsidRPr="00480C83" w:rsidRDefault="000B625B" w:rsidP="00E238D6">
            <w:pPr>
              <w:rPr>
                <w:sz w:val="20"/>
              </w:rPr>
            </w:pPr>
            <w:r w:rsidRPr="00480C83">
              <w:rPr>
                <w:sz w:val="20"/>
              </w:rPr>
              <w:t>2011 Emails sent</w:t>
            </w:r>
          </w:p>
        </w:tc>
        <w:tc>
          <w:tcPr>
            <w:tcW w:w="709" w:type="dxa"/>
          </w:tcPr>
          <w:p w:rsidR="000B625B" w:rsidRPr="00480C83" w:rsidRDefault="008920EE" w:rsidP="00E238D6">
            <w:pPr>
              <w:rPr>
                <w:sz w:val="20"/>
              </w:rPr>
            </w:pPr>
            <w:r w:rsidRPr="00480C83">
              <w:rPr>
                <w:sz w:val="20"/>
              </w:rPr>
              <w:t>98</w:t>
            </w:r>
          </w:p>
        </w:tc>
        <w:tc>
          <w:tcPr>
            <w:tcW w:w="709" w:type="dxa"/>
          </w:tcPr>
          <w:p w:rsidR="000B625B" w:rsidRPr="00480C83" w:rsidRDefault="008920EE" w:rsidP="00E238D6">
            <w:pPr>
              <w:rPr>
                <w:sz w:val="20"/>
              </w:rPr>
            </w:pPr>
            <w:r w:rsidRPr="00480C83">
              <w:rPr>
                <w:sz w:val="20"/>
              </w:rPr>
              <w:t>99</w:t>
            </w:r>
          </w:p>
        </w:tc>
        <w:tc>
          <w:tcPr>
            <w:tcW w:w="708" w:type="dxa"/>
          </w:tcPr>
          <w:p w:rsidR="000B625B" w:rsidRPr="00480C83" w:rsidRDefault="008920EE" w:rsidP="00E238D6">
            <w:pPr>
              <w:rPr>
                <w:sz w:val="20"/>
              </w:rPr>
            </w:pPr>
            <w:r w:rsidRPr="00480C83">
              <w:rPr>
                <w:sz w:val="20"/>
              </w:rPr>
              <w:t>85</w:t>
            </w:r>
          </w:p>
        </w:tc>
        <w:tc>
          <w:tcPr>
            <w:tcW w:w="709" w:type="dxa"/>
          </w:tcPr>
          <w:p w:rsidR="000B625B" w:rsidRPr="00480C83" w:rsidRDefault="008920EE" w:rsidP="00E238D6">
            <w:pPr>
              <w:rPr>
                <w:sz w:val="20"/>
              </w:rPr>
            </w:pPr>
            <w:r w:rsidRPr="00480C83">
              <w:rPr>
                <w:sz w:val="20"/>
              </w:rPr>
              <w:t>79</w:t>
            </w:r>
          </w:p>
        </w:tc>
        <w:tc>
          <w:tcPr>
            <w:tcW w:w="709" w:type="dxa"/>
          </w:tcPr>
          <w:p w:rsidR="000B625B" w:rsidRPr="00480C83" w:rsidRDefault="008920EE" w:rsidP="00E238D6">
            <w:pPr>
              <w:rPr>
                <w:sz w:val="20"/>
              </w:rPr>
            </w:pPr>
            <w:r w:rsidRPr="00480C83">
              <w:rPr>
                <w:sz w:val="20"/>
              </w:rPr>
              <w:t>128</w:t>
            </w:r>
          </w:p>
        </w:tc>
        <w:tc>
          <w:tcPr>
            <w:tcW w:w="709" w:type="dxa"/>
          </w:tcPr>
          <w:p w:rsidR="000B625B" w:rsidRPr="00480C83" w:rsidRDefault="008920EE" w:rsidP="00E238D6">
            <w:pPr>
              <w:rPr>
                <w:sz w:val="20"/>
              </w:rPr>
            </w:pPr>
            <w:r w:rsidRPr="00480C83">
              <w:rPr>
                <w:sz w:val="20"/>
              </w:rPr>
              <w:t>33</w:t>
            </w:r>
          </w:p>
        </w:tc>
        <w:tc>
          <w:tcPr>
            <w:tcW w:w="708" w:type="dxa"/>
          </w:tcPr>
          <w:p w:rsidR="000B625B" w:rsidRPr="00480C83" w:rsidRDefault="008920EE" w:rsidP="00E238D6">
            <w:pPr>
              <w:rPr>
                <w:sz w:val="20"/>
              </w:rPr>
            </w:pPr>
            <w:r w:rsidRPr="00480C83">
              <w:rPr>
                <w:sz w:val="20"/>
              </w:rPr>
              <w:t>71</w:t>
            </w:r>
          </w:p>
        </w:tc>
        <w:tc>
          <w:tcPr>
            <w:tcW w:w="782" w:type="dxa"/>
          </w:tcPr>
          <w:p w:rsidR="000B625B" w:rsidRPr="00480C83" w:rsidRDefault="008920EE" w:rsidP="00E238D6">
            <w:pPr>
              <w:rPr>
                <w:sz w:val="20"/>
              </w:rPr>
            </w:pPr>
            <w:r w:rsidRPr="00480C83">
              <w:rPr>
                <w:sz w:val="20"/>
              </w:rPr>
              <w:t>42</w:t>
            </w:r>
          </w:p>
        </w:tc>
      </w:tr>
      <w:tr w:rsidR="00E17BAD" w:rsidTr="00E52C16">
        <w:tc>
          <w:tcPr>
            <w:tcW w:w="4219" w:type="dxa"/>
            <w:shd w:val="clear" w:color="auto" w:fill="auto"/>
          </w:tcPr>
          <w:p w:rsidR="00E17BAD" w:rsidRPr="00480C83" w:rsidRDefault="00E17BAD" w:rsidP="00E238D6">
            <w:pPr>
              <w:rPr>
                <w:sz w:val="20"/>
              </w:rPr>
            </w:pPr>
            <w:r w:rsidRPr="00480C83">
              <w:rPr>
                <w:sz w:val="20"/>
              </w:rPr>
              <w:t>2011 Hardcopy sent</w:t>
            </w:r>
          </w:p>
        </w:tc>
        <w:tc>
          <w:tcPr>
            <w:tcW w:w="5743" w:type="dxa"/>
            <w:gridSpan w:val="8"/>
            <w:shd w:val="clear" w:color="auto" w:fill="auto"/>
          </w:tcPr>
          <w:p w:rsidR="00E17BAD" w:rsidRPr="00480C83" w:rsidRDefault="00E17BAD" w:rsidP="00E238D6">
            <w:pPr>
              <w:rPr>
                <w:i/>
                <w:sz w:val="20"/>
              </w:rPr>
            </w:pPr>
            <w:r w:rsidRPr="00480C83">
              <w:rPr>
                <w:i/>
                <w:sz w:val="20"/>
              </w:rPr>
              <w:t>Data not collecte</w:t>
            </w:r>
            <w:r w:rsidR="00882CA4" w:rsidRPr="00480C83">
              <w:rPr>
                <w:i/>
                <w:sz w:val="20"/>
              </w:rPr>
              <w:t>d</w:t>
            </w:r>
            <w:r w:rsidR="003827AB">
              <w:rPr>
                <w:i/>
                <w:sz w:val="20"/>
              </w:rPr>
              <w:t xml:space="preserve"> (but likely to have been very few, if any)</w:t>
            </w:r>
          </w:p>
        </w:tc>
      </w:tr>
      <w:tr w:rsidR="00E61C70" w:rsidTr="00882CA4">
        <w:tc>
          <w:tcPr>
            <w:tcW w:w="4219" w:type="dxa"/>
          </w:tcPr>
          <w:p w:rsidR="00E61C70" w:rsidRPr="00480C83" w:rsidRDefault="00E61C70" w:rsidP="00882CA4">
            <w:pPr>
              <w:rPr>
                <w:sz w:val="20"/>
              </w:rPr>
            </w:pPr>
            <w:r w:rsidRPr="00480C83">
              <w:rPr>
                <w:sz w:val="20"/>
              </w:rPr>
              <w:t>2011 Emails sent on Saturday or Sunday</w:t>
            </w:r>
          </w:p>
        </w:tc>
        <w:tc>
          <w:tcPr>
            <w:tcW w:w="709" w:type="dxa"/>
          </w:tcPr>
          <w:p w:rsidR="00E61C70" w:rsidRPr="00480C83" w:rsidRDefault="00E61C70" w:rsidP="00882CA4">
            <w:pPr>
              <w:rPr>
                <w:sz w:val="20"/>
              </w:rPr>
            </w:pPr>
            <w:r w:rsidRPr="00480C83">
              <w:rPr>
                <w:sz w:val="20"/>
              </w:rPr>
              <w:t>1</w:t>
            </w:r>
          </w:p>
        </w:tc>
        <w:tc>
          <w:tcPr>
            <w:tcW w:w="709" w:type="dxa"/>
          </w:tcPr>
          <w:p w:rsidR="00E61C70" w:rsidRPr="00480C83" w:rsidRDefault="00E61C70" w:rsidP="00882CA4">
            <w:pPr>
              <w:rPr>
                <w:sz w:val="20"/>
              </w:rPr>
            </w:pPr>
            <w:r w:rsidRPr="00480C83">
              <w:rPr>
                <w:sz w:val="20"/>
              </w:rPr>
              <w:t>12</w:t>
            </w:r>
          </w:p>
        </w:tc>
        <w:tc>
          <w:tcPr>
            <w:tcW w:w="708" w:type="dxa"/>
          </w:tcPr>
          <w:p w:rsidR="00E61C70" w:rsidRPr="00480C83" w:rsidRDefault="00E61C70" w:rsidP="00882CA4">
            <w:pPr>
              <w:rPr>
                <w:sz w:val="20"/>
              </w:rPr>
            </w:pPr>
            <w:r w:rsidRPr="00480C83">
              <w:rPr>
                <w:sz w:val="20"/>
              </w:rPr>
              <w:t>4</w:t>
            </w:r>
          </w:p>
        </w:tc>
        <w:tc>
          <w:tcPr>
            <w:tcW w:w="709" w:type="dxa"/>
          </w:tcPr>
          <w:p w:rsidR="00E61C70" w:rsidRPr="00480C83" w:rsidRDefault="00E61C70" w:rsidP="00882CA4">
            <w:pPr>
              <w:rPr>
                <w:sz w:val="20"/>
              </w:rPr>
            </w:pPr>
            <w:r w:rsidRPr="00480C83">
              <w:rPr>
                <w:sz w:val="20"/>
              </w:rPr>
              <w:t>4</w:t>
            </w:r>
          </w:p>
        </w:tc>
        <w:tc>
          <w:tcPr>
            <w:tcW w:w="709" w:type="dxa"/>
          </w:tcPr>
          <w:p w:rsidR="00E61C70" w:rsidRPr="00480C83" w:rsidRDefault="00E61C70" w:rsidP="00882CA4">
            <w:pPr>
              <w:rPr>
                <w:sz w:val="20"/>
              </w:rPr>
            </w:pPr>
            <w:r w:rsidRPr="00480C83">
              <w:rPr>
                <w:sz w:val="20"/>
              </w:rPr>
              <w:t>12</w:t>
            </w:r>
          </w:p>
        </w:tc>
        <w:tc>
          <w:tcPr>
            <w:tcW w:w="709" w:type="dxa"/>
          </w:tcPr>
          <w:p w:rsidR="00E61C70" w:rsidRPr="00480C83" w:rsidRDefault="00E61C70" w:rsidP="00882CA4">
            <w:pPr>
              <w:rPr>
                <w:sz w:val="20"/>
              </w:rPr>
            </w:pPr>
            <w:r w:rsidRPr="00480C83">
              <w:rPr>
                <w:sz w:val="20"/>
              </w:rPr>
              <w:t>1</w:t>
            </w:r>
          </w:p>
        </w:tc>
        <w:tc>
          <w:tcPr>
            <w:tcW w:w="708" w:type="dxa"/>
          </w:tcPr>
          <w:p w:rsidR="00E61C70" w:rsidRPr="00480C83" w:rsidRDefault="00E61C70" w:rsidP="00882CA4">
            <w:pPr>
              <w:rPr>
                <w:sz w:val="20"/>
              </w:rPr>
            </w:pPr>
            <w:r w:rsidRPr="00480C83">
              <w:rPr>
                <w:sz w:val="20"/>
              </w:rPr>
              <w:t>2</w:t>
            </w:r>
          </w:p>
        </w:tc>
        <w:tc>
          <w:tcPr>
            <w:tcW w:w="782" w:type="dxa"/>
          </w:tcPr>
          <w:p w:rsidR="00E61C70" w:rsidRPr="00480C83" w:rsidRDefault="00E61C70" w:rsidP="00882CA4">
            <w:pPr>
              <w:rPr>
                <w:sz w:val="20"/>
              </w:rPr>
            </w:pPr>
            <w:r w:rsidRPr="00480C83">
              <w:rPr>
                <w:sz w:val="20"/>
              </w:rPr>
              <w:t>1</w:t>
            </w:r>
          </w:p>
        </w:tc>
      </w:tr>
    </w:tbl>
    <w:p w:rsidR="00A05407" w:rsidRDefault="00A05407" w:rsidP="00E238D6"/>
    <w:p w:rsidR="00EF609D" w:rsidRDefault="009F2BEF" w:rsidP="004811F9">
      <w:r>
        <w:t>Wilson reports that to read and deal with his email load demanded considerable dedication and determination.  Many could be glanced at, but a substantial number of others required detailed reading, perhaps the opening up of attachments, and a reply</w:t>
      </w:r>
      <w:r w:rsidR="00EC41B6">
        <w:t xml:space="preserve"> – and this had to be done while handling </w:t>
      </w:r>
      <w:r w:rsidR="00186BB0">
        <w:t xml:space="preserve">face-to-face </w:t>
      </w:r>
      <w:r w:rsidR="00EC41B6">
        <w:t>interruptions and phone calls</w:t>
      </w:r>
      <w:r>
        <w:t>.  To cope with the load</w:t>
      </w:r>
      <w:r w:rsidR="00186BB0">
        <w:t>,</w:t>
      </w:r>
      <w:r>
        <w:t xml:space="preserve"> he started work earlier, finished later, and limited the time spent on lunch and other breaks. </w:t>
      </w:r>
    </w:p>
    <w:p w:rsidR="004811F9" w:rsidRDefault="00186BB0" w:rsidP="001D7185">
      <w:r>
        <w:t xml:space="preserve">Indeed, </w:t>
      </w:r>
      <w:r w:rsidR="009F2BEF">
        <w:t xml:space="preserve">Wilson has witnessed several occasions when a very high, peaking, workload resulted in individuals losing control of their </w:t>
      </w:r>
      <w:r w:rsidR="00D44449">
        <w:t>e</w:t>
      </w:r>
      <w:r w:rsidR="009F2BEF">
        <w:t>mail</w:t>
      </w:r>
      <w:r w:rsidR="001D7185">
        <w:t>s</w:t>
      </w:r>
      <w:r w:rsidR="009F2BEF">
        <w:t xml:space="preserve">, and ceased to look at email altogether for a </w:t>
      </w:r>
      <w:r w:rsidR="001D7185">
        <w:t>period of several days or more, akin to declaring Email Bankruptcy</w:t>
      </w:r>
      <w:r w:rsidR="00393A9F">
        <w:t xml:space="preserve"> (Smith and Strong, 2008)</w:t>
      </w:r>
      <w:r w:rsidR="001D7185">
        <w:t xml:space="preserve">. </w:t>
      </w:r>
    </w:p>
    <w:p w:rsidR="004647C3" w:rsidRPr="000A58D2" w:rsidRDefault="00DA2D5F" w:rsidP="00E238D6">
      <w:pPr>
        <w:rPr>
          <w:b/>
          <w:bCs/>
          <w:u w:val="single"/>
        </w:rPr>
      </w:pPr>
      <w:r>
        <w:rPr>
          <w:b/>
          <w:bCs/>
          <w:u w:val="single"/>
        </w:rPr>
        <w:t>The Need to Manage</w:t>
      </w:r>
      <w:r w:rsidR="004647C3" w:rsidRPr="00D94F98">
        <w:rPr>
          <w:b/>
          <w:bCs/>
          <w:u w:val="single"/>
        </w:rPr>
        <w:t xml:space="preserve"> Digital Records </w:t>
      </w:r>
      <w:r>
        <w:rPr>
          <w:b/>
          <w:bCs/>
          <w:u w:val="single"/>
        </w:rPr>
        <w:t>as well as Paper</w:t>
      </w:r>
    </w:p>
    <w:p w:rsidR="004811F9" w:rsidRPr="00480C83" w:rsidRDefault="001B6B9C" w:rsidP="00691174">
      <w:r>
        <w:t xml:space="preserve">Increased volumes </w:t>
      </w:r>
      <w:r w:rsidR="0021627A">
        <w:t>and the increased</w:t>
      </w:r>
      <w:r w:rsidR="001037A9">
        <w:t xml:space="preserve"> flexibility in communication</w:t>
      </w:r>
      <w:r>
        <w:t>,</w:t>
      </w:r>
      <w:r w:rsidR="001037A9">
        <w:t xml:space="preserve"> </w:t>
      </w:r>
      <w:r>
        <w:t xml:space="preserve">has </w:t>
      </w:r>
      <w:r w:rsidR="001037A9">
        <w:t xml:space="preserve">meant </w:t>
      </w:r>
      <w:r w:rsidR="0033277B">
        <w:t>employee</w:t>
      </w:r>
      <w:r>
        <w:t>s have</w:t>
      </w:r>
      <w:r w:rsidR="0033277B">
        <w:t xml:space="preserve"> had to </w:t>
      </w:r>
      <w:r w:rsidR="001037A9">
        <w:t>increase the</w:t>
      </w:r>
      <w:r w:rsidR="0033277B">
        <w:t>ir</w:t>
      </w:r>
      <w:r w:rsidR="001037A9">
        <w:t xml:space="preserve"> information </w:t>
      </w:r>
      <w:r w:rsidR="00F67EC5">
        <w:t xml:space="preserve">management </w:t>
      </w:r>
      <w:r w:rsidR="0021627A">
        <w:t>capabilities in areas such as records management, information retrieval, and security awareness</w:t>
      </w:r>
      <w:r w:rsidR="008D4276">
        <w:t xml:space="preserve"> (Steventon et al., 2012).</w:t>
      </w:r>
      <w:r w:rsidR="001037A9">
        <w:t xml:space="preserve"> </w:t>
      </w:r>
      <w:r w:rsidR="00122A34">
        <w:t>Wilson says that</w:t>
      </w:r>
      <w:r w:rsidR="004811F9">
        <w:t>,</w:t>
      </w:r>
      <w:r w:rsidR="00122A34">
        <w:t xml:space="preserve"> i</w:t>
      </w:r>
      <w:r w:rsidR="00392B26">
        <w:t>n 1981</w:t>
      </w:r>
      <w:r w:rsidR="00011C68">
        <w:t>,</w:t>
      </w:r>
      <w:r w:rsidR="00392B26">
        <w:t xml:space="preserve"> office workers really just needed paper and </w:t>
      </w:r>
      <w:r w:rsidR="003A0D8D">
        <w:t xml:space="preserve">a </w:t>
      </w:r>
      <w:r w:rsidR="004D0B41">
        <w:t>pen</w:t>
      </w:r>
      <w:r>
        <w:t xml:space="preserve"> for written communications</w:t>
      </w:r>
      <w:r w:rsidR="004D0B41">
        <w:t>, whereas in 2011</w:t>
      </w:r>
      <w:r w:rsidR="00392B26">
        <w:t xml:space="preserve"> </w:t>
      </w:r>
      <w:r w:rsidR="0033277B">
        <w:t xml:space="preserve">employees required </w:t>
      </w:r>
      <w:r w:rsidR="00392B26">
        <w:t xml:space="preserve">computing equipment (laptop, desktop or handheld) close to </w:t>
      </w:r>
      <w:r w:rsidR="0033277B">
        <w:t xml:space="preserve">them at all times </w:t>
      </w:r>
      <w:r w:rsidR="0021627A">
        <w:t xml:space="preserve">in order to perform their work and </w:t>
      </w:r>
      <w:r w:rsidR="0033277B">
        <w:t xml:space="preserve">to be contactable at all times. </w:t>
      </w:r>
      <w:r w:rsidR="00DA2D5F">
        <w:t>Furthermore, it had become essential to be skilled in the computing facilities for storing and retrieving documents and emails in order to be able to manage and use the very high volumes of documents and emails being produced and received.</w:t>
      </w:r>
    </w:p>
    <w:p w:rsidR="00DA2D5F" w:rsidRPr="000A58D2" w:rsidRDefault="00DA2D5F" w:rsidP="00691174">
      <w:pPr>
        <w:rPr>
          <w:b/>
          <w:bCs/>
          <w:u w:val="single"/>
        </w:rPr>
      </w:pPr>
      <w:r w:rsidRPr="000A58D2">
        <w:rPr>
          <w:b/>
          <w:bCs/>
          <w:u w:val="single"/>
        </w:rPr>
        <w:t>Work-Life Balance</w:t>
      </w:r>
      <w:r w:rsidR="00C86DFC">
        <w:rPr>
          <w:b/>
          <w:bCs/>
          <w:u w:val="single"/>
        </w:rPr>
        <w:t xml:space="preserve"> Getting Out-of-Kilter</w:t>
      </w:r>
    </w:p>
    <w:p w:rsidR="00A05407" w:rsidRDefault="0033277B" w:rsidP="001D7185">
      <w:r>
        <w:t>T</w:t>
      </w:r>
      <w:r w:rsidR="00392B26">
        <w:t>urn</w:t>
      </w:r>
      <w:r w:rsidR="003827AB">
        <w:t>-</w:t>
      </w:r>
      <w:r w:rsidR="00392B26">
        <w:t xml:space="preserve">around time expectations for communication had reduced from several days in 1981 to a matter of </w:t>
      </w:r>
      <w:r w:rsidR="004D0B41">
        <w:t>hours in 2011</w:t>
      </w:r>
      <w:r w:rsidR="00392B26">
        <w:t>.</w:t>
      </w:r>
      <w:r w:rsidR="00E238D6">
        <w:t xml:space="preserve"> </w:t>
      </w:r>
      <w:r w:rsidR="001A0F1E">
        <w:t xml:space="preserve">In 1981 there was considerable inter-continental communication, but it was largely by letter and one-to-one phone calls, and between distinct groups of people with their own specific agendas. By 2011, however, business had gone global and was conducted by interlinked teams working together across </w:t>
      </w:r>
      <w:r w:rsidR="004811F9">
        <w:t>continents. Worldwide c</w:t>
      </w:r>
      <w:r w:rsidR="001A0F1E">
        <w:t xml:space="preserve">onference calls and video calls demanded that many participants had to join </w:t>
      </w:r>
      <w:r w:rsidR="001A0F1E">
        <w:lastRenderedPageBreak/>
        <w:t>communications at unsocial hours</w:t>
      </w:r>
      <w:r w:rsidR="00186BB0">
        <w:t xml:space="preserve"> – and these were a regular occurrence</w:t>
      </w:r>
      <w:r w:rsidR="001A0F1E">
        <w:t xml:space="preserve">. Email was the glue bonding the participants together. </w:t>
      </w:r>
      <w:r w:rsidR="00E238D6">
        <w:t>Th</w:t>
      </w:r>
      <w:r w:rsidR="00023968">
        <w:t xml:space="preserve">is </w:t>
      </w:r>
      <w:r w:rsidR="001A0F1E">
        <w:t>ha</w:t>
      </w:r>
      <w:r w:rsidR="00023968">
        <w:t>s</w:t>
      </w:r>
      <w:r w:rsidR="00011C68">
        <w:t xml:space="preserve"> had a </w:t>
      </w:r>
      <w:r w:rsidR="00E238D6">
        <w:t>dramatic effect on work-life balance as employees no</w:t>
      </w:r>
      <w:r w:rsidR="006D7B00">
        <w:t xml:space="preserve"> </w:t>
      </w:r>
      <w:r w:rsidR="004811F9">
        <w:t>longer had</w:t>
      </w:r>
      <w:r w:rsidR="00E238D6">
        <w:t xml:space="preserve"> clea</w:t>
      </w:r>
      <w:r w:rsidR="004811F9">
        <w:t>r boundaries between what was work time and what was</w:t>
      </w:r>
      <w:r w:rsidR="00E238D6">
        <w:t xml:space="preserve"> not</w:t>
      </w:r>
      <w:r w:rsidR="00C86DFC">
        <w:t xml:space="preserve"> (</w:t>
      </w:r>
      <w:r w:rsidR="003827AB">
        <w:rPr>
          <w:rFonts w:ascii="Arial" w:hAnsi="Arial" w:cs="Arial"/>
          <w:sz w:val="19"/>
          <w:szCs w:val="19"/>
        </w:rPr>
        <w:t xml:space="preserve">Waller </w:t>
      </w:r>
      <w:r w:rsidR="00C86DFC">
        <w:rPr>
          <w:rFonts w:ascii="Arial" w:hAnsi="Arial" w:cs="Arial"/>
          <w:sz w:val="19"/>
          <w:szCs w:val="19"/>
        </w:rPr>
        <w:t>and Ragsdell, 2012)</w:t>
      </w:r>
      <w:r w:rsidR="00C86DFC">
        <w:t>.</w:t>
      </w:r>
      <w:r w:rsidR="00E238D6">
        <w:t xml:space="preserve"> </w:t>
      </w:r>
      <w:r w:rsidR="00116343">
        <w:t>The data from this study exemplifies this</w:t>
      </w:r>
      <w:r w:rsidR="00691174">
        <w:t>, as</w:t>
      </w:r>
      <w:r w:rsidR="00116343">
        <w:t xml:space="preserve"> in 1981 there were no communications received</w:t>
      </w:r>
      <w:r w:rsidR="008428AC">
        <w:t xml:space="preserve"> or sent</w:t>
      </w:r>
      <w:r w:rsidR="00116343">
        <w:t xml:space="preserve"> over the weekend</w:t>
      </w:r>
      <w:r w:rsidR="00E61C70">
        <w:t xml:space="preserve"> whereas, as indicated in Table 2, </w:t>
      </w:r>
      <w:r w:rsidR="00720BF2">
        <w:t xml:space="preserve">in </w:t>
      </w:r>
      <w:r w:rsidR="006D7B00">
        <w:t>the eight weeks in</w:t>
      </w:r>
      <w:r w:rsidR="003862CC">
        <w:t xml:space="preserve"> </w:t>
      </w:r>
      <w:r w:rsidR="00720BF2">
        <w:t>201</w:t>
      </w:r>
      <w:r w:rsidR="003862CC">
        <w:t>1</w:t>
      </w:r>
      <w:r w:rsidR="00F02FA4">
        <w:t>,</w:t>
      </w:r>
      <w:r w:rsidR="00720BF2">
        <w:t xml:space="preserve"> 118</w:t>
      </w:r>
      <w:r w:rsidR="008428AC">
        <w:t xml:space="preserve"> emails were </w:t>
      </w:r>
      <w:r w:rsidR="00F02FA4">
        <w:t xml:space="preserve">received </w:t>
      </w:r>
      <w:r w:rsidR="006D7B00">
        <w:t xml:space="preserve">and </w:t>
      </w:r>
      <w:r w:rsidR="00F02FA4">
        <w:t>37</w:t>
      </w:r>
      <w:r w:rsidR="008428AC">
        <w:t xml:space="preserve"> emails sent</w:t>
      </w:r>
      <w:r w:rsidR="003827AB">
        <w:t>,</w:t>
      </w:r>
      <w:r w:rsidR="008428AC">
        <w:t xml:space="preserve"> o</w:t>
      </w:r>
      <w:r w:rsidR="00882CA4">
        <w:t xml:space="preserve">n Saturdays or </w:t>
      </w:r>
      <w:r w:rsidR="006D7B00">
        <w:t>Sundays</w:t>
      </w:r>
      <w:r w:rsidR="00E61C70">
        <w:t>.</w:t>
      </w:r>
      <w:r w:rsidR="00882CA4">
        <w:t xml:space="preserve"> The main reason for no written communications occurring over the weekend in 1981, as confirmed in conversations with Paul Wilson, was simply that he did not attend his workplace at weekends which is where all written communications were received or sent from.</w:t>
      </w:r>
      <w:r w:rsidR="00480C83">
        <w:t xml:space="preserve"> In 2011, however, work was done over the weekend</w:t>
      </w:r>
      <w:r w:rsidR="003827AB">
        <w:t xml:space="preserve"> at home</w:t>
      </w:r>
      <w:r w:rsidR="00480C83">
        <w:t xml:space="preserve"> on laptops and </w:t>
      </w:r>
      <w:r w:rsidR="003827AB">
        <w:t>handheld devices</w:t>
      </w:r>
      <w:r w:rsidR="00480C83">
        <w:t>.</w:t>
      </w:r>
    </w:p>
    <w:p w:rsidR="00C86DFC" w:rsidRPr="000A58D2" w:rsidRDefault="00C86DFC" w:rsidP="00691174">
      <w:pPr>
        <w:rPr>
          <w:b/>
          <w:bCs/>
          <w:u w:val="single"/>
        </w:rPr>
      </w:pPr>
      <w:r w:rsidRPr="000A58D2">
        <w:rPr>
          <w:b/>
          <w:bCs/>
          <w:u w:val="single"/>
        </w:rPr>
        <w:t>The Blurring of Work and Non-Work Communications</w:t>
      </w:r>
    </w:p>
    <w:p w:rsidR="003827AB" w:rsidRDefault="00392B26" w:rsidP="00E238D6">
      <w:r>
        <w:t xml:space="preserve">In 1981 the phone was a fixed object located on </w:t>
      </w:r>
      <w:r w:rsidR="004D0B41">
        <w:t>the office desk, whereas by 2011</w:t>
      </w:r>
      <w:r>
        <w:t xml:space="preserve"> it had become mobile and multi-purpose such that </w:t>
      </w:r>
      <w:r w:rsidR="00011C68">
        <w:t>there was</w:t>
      </w:r>
      <w:r>
        <w:t xml:space="preserve"> a much more immediate and tighter coupling between voice and written communications. </w:t>
      </w:r>
      <w:r w:rsidR="00023968">
        <w:t>In Wilson’s experience, m</w:t>
      </w:r>
      <w:r w:rsidR="006915A0">
        <w:t xml:space="preserve">any of the major uses for </w:t>
      </w:r>
      <w:r w:rsidR="00E238D6">
        <w:t>‘snail’</w:t>
      </w:r>
      <w:r w:rsidR="006915A0">
        <w:t xml:space="preserve"> mail in 1981</w:t>
      </w:r>
      <w:r w:rsidR="00E238D6">
        <w:t>,</w:t>
      </w:r>
      <w:r w:rsidR="006915A0">
        <w:t xml:space="preserve"> </w:t>
      </w:r>
      <w:r w:rsidR="00480C83">
        <w:t xml:space="preserve">for example, </w:t>
      </w:r>
      <w:r w:rsidR="006915A0">
        <w:t>magazines, newsletters and marketing materials</w:t>
      </w:r>
      <w:r w:rsidR="00E238D6">
        <w:t>,</w:t>
      </w:r>
      <w:r w:rsidR="006915A0">
        <w:t xml:space="preserve"> </w:t>
      </w:r>
      <w:r w:rsidR="003A0D8D">
        <w:t>had</w:t>
      </w:r>
      <w:r w:rsidR="006915A0">
        <w:t xml:space="preserve"> been moved in part or entirely into email or </w:t>
      </w:r>
      <w:r w:rsidR="003827AB">
        <w:t xml:space="preserve">internet </w:t>
      </w:r>
      <w:r w:rsidR="006915A0">
        <w:t xml:space="preserve">web sites </w:t>
      </w:r>
      <w:r w:rsidR="004D0B41">
        <w:t>by 2011</w:t>
      </w:r>
      <w:r w:rsidR="006915A0">
        <w:t>.</w:t>
      </w:r>
      <w:r w:rsidR="00626B43">
        <w:t xml:space="preserve"> However, the accessibility</w:t>
      </w:r>
      <w:r w:rsidR="00023968">
        <w:t xml:space="preserve"> of the technology</w:t>
      </w:r>
      <w:r w:rsidR="006915A0">
        <w:t xml:space="preserve"> </w:t>
      </w:r>
      <w:r w:rsidR="00626B43">
        <w:t xml:space="preserve">has simply multiplied the amount of such material that is sent to individuals thereby demanding a commensurate increase in the amount of time required to deal with each day’s inflow. </w:t>
      </w:r>
      <w:r w:rsidR="006915A0">
        <w:t>Web sites</w:t>
      </w:r>
      <w:r w:rsidR="00E238D6">
        <w:t xml:space="preserve"> appear to make it</w:t>
      </w:r>
      <w:r w:rsidR="006915A0">
        <w:t xml:space="preserve"> easier to get info</w:t>
      </w:r>
      <w:r w:rsidR="003A0D8D">
        <w:t>rmation</w:t>
      </w:r>
      <w:r w:rsidR="00E238D6">
        <w:t xml:space="preserve">, </w:t>
      </w:r>
      <w:r w:rsidR="00626B43">
        <w:t xml:space="preserve">however </w:t>
      </w:r>
      <w:r w:rsidR="006915A0">
        <w:t>more time seems to be spent looking for</w:t>
      </w:r>
      <w:r w:rsidR="003A0D8D">
        <w:t xml:space="preserve"> more information than in 1981. </w:t>
      </w:r>
      <w:r w:rsidR="00B07C36">
        <w:t xml:space="preserve"> </w:t>
      </w:r>
      <w:r w:rsidR="00E909C7">
        <w:t>In addition, a number of new uses for email have emerged</w:t>
      </w:r>
      <w:r w:rsidR="00E14D42">
        <w:t xml:space="preserve">, as indicated </w:t>
      </w:r>
      <w:r w:rsidR="00905DF6">
        <w:t xml:space="preserve">in Table 1 </w:t>
      </w:r>
      <w:r w:rsidR="00E14D42">
        <w:t>by those subject categories appearing in the 2011 data but not in the 1981 data</w:t>
      </w:r>
      <w:r w:rsidR="008A0F43">
        <w:t>.</w:t>
      </w:r>
      <w:r w:rsidR="00E909C7">
        <w:t xml:space="preserve">  </w:t>
      </w:r>
      <w:r w:rsidR="00626B43">
        <w:t xml:space="preserve">Although many of these new uses are not directly work-related,  two factors combine </w:t>
      </w:r>
      <w:r w:rsidR="00480C83">
        <w:t>to result in work communication</w:t>
      </w:r>
      <w:r w:rsidR="00626B43">
        <w:t xml:space="preserve"> systems being used for these additional uses: </w:t>
      </w:r>
    </w:p>
    <w:p w:rsidR="003827AB" w:rsidRDefault="00626B43" w:rsidP="00E238D6">
      <w:r>
        <w:t xml:space="preserve">a) the ease of access of email, and </w:t>
      </w:r>
    </w:p>
    <w:p w:rsidR="00504FC2" w:rsidRDefault="00626B43" w:rsidP="00E238D6">
      <w:r>
        <w:t xml:space="preserve">b) </w:t>
      </w:r>
      <w:r w:rsidR="00C86DFC">
        <w:t>significantly greater</w:t>
      </w:r>
      <w:r>
        <w:t xml:space="preserve"> workloads making it </w:t>
      </w:r>
      <w:r w:rsidR="00C86DFC">
        <w:t>inefficient</w:t>
      </w:r>
      <w:r w:rsidR="00FB461C">
        <w:t>, difficult and sometimes</w:t>
      </w:r>
      <w:r w:rsidR="00480C83">
        <w:t xml:space="preserve"> </w:t>
      </w:r>
      <w:r>
        <w:t>impractical to run two separate email addresses.</w:t>
      </w:r>
    </w:p>
    <w:p w:rsidR="00F00A1D" w:rsidRPr="00765EBE" w:rsidRDefault="008D360B" w:rsidP="00F00A1D">
      <w:pPr>
        <w:rPr>
          <w:b/>
          <w:u w:val="single"/>
        </w:rPr>
      </w:pPr>
      <w:r>
        <w:rPr>
          <w:b/>
          <w:u w:val="single"/>
        </w:rPr>
        <w:t>Questions Raised by these Experiences</w:t>
      </w:r>
    </w:p>
    <w:p w:rsidR="008D360B" w:rsidRDefault="005741A9" w:rsidP="001D7185">
      <w:r>
        <w:t xml:space="preserve">This </w:t>
      </w:r>
      <w:r w:rsidR="001D7185">
        <w:t>Research Note</w:t>
      </w:r>
      <w:r>
        <w:t xml:space="preserve"> has illustrated the </w:t>
      </w:r>
      <w:r w:rsidR="00EC41B6">
        <w:t>huge changes in written communications in the last thirty years</w:t>
      </w:r>
      <w:r w:rsidR="00A71DE6">
        <w:t>. H</w:t>
      </w:r>
      <w:r>
        <w:t>owever</w:t>
      </w:r>
      <w:r w:rsidR="00480C83">
        <w:t>,</w:t>
      </w:r>
      <w:r>
        <w:t xml:space="preserve"> Wilson does not recall having been giving any guidance in his career as to how to cope with the technology</w:t>
      </w:r>
      <w:r w:rsidR="00EC41B6">
        <w:t xml:space="preserve"> – </w:t>
      </w:r>
      <w:r>
        <w:t xml:space="preserve">only training on how to use some of the new systems. This raises a number of questions: </w:t>
      </w:r>
    </w:p>
    <w:p w:rsidR="008D360B" w:rsidRDefault="008D360B" w:rsidP="000A58D2">
      <w:pPr>
        <w:pStyle w:val="ListParagraph"/>
        <w:numPr>
          <w:ilvl w:val="0"/>
          <w:numId w:val="5"/>
        </w:numPr>
      </w:pPr>
      <w:r>
        <w:t>Are organisations aware of the pressures imposed on their employees by the communication systems that they use?</w:t>
      </w:r>
    </w:p>
    <w:p w:rsidR="008D360B" w:rsidRDefault="008D360B" w:rsidP="000A58D2">
      <w:pPr>
        <w:pStyle w:val="ListParagraph"/>
        <w:numPr>
          <w:ilvl w:val="0"/>
          <w:numId w:val="5"/>
        </w:numPr>
      </w:pPr>
      <w:r>
        <w:t xml:space="preserve">Are organisations helping their employees to gain the skills and knowledge to cope with the </w:t>
      </w:r>
      <w:r w:rsidR="001D7185">
        <w:t xml:space="preserve">information and </w:t>
      </w:r>
      <w:r>
        <w:t>communication systems?</w:t>
      </w:r>
    </w:p>
    <w:p w:rsidR="008D360B" w:rsidRDefault="008D360B" w:rsidP="000A58D2">
      <w:pPr>
        <w:pStyle w:val="ListParagraph"/>
        <w:numPr>
          <w:ilvl w:val="0"/>
          <w:numId w:val="5"/>
        </w:numPr>
      </w:pPr>
      <w:r>
        <w:t>Are organisations managing the deluge of new technology effectively?</w:t>
      </w:r>
    </w:p>
    <w:p w:rsidR="00D44006" w:rsidRDefault="008D360B" w:rsidP="001D7185">
      <w:r>
        <w:t xml:space="preserve">Perhaps a pre-requisite to addressing these points is knowledge of what is going on. </w:t>
      </w:r>
      <w:r w:rsidR="00A71DE6">
        <w:t xml:space="preserve">One way to achieve this might be for </w:t>
      </w:r>
      <w:r w:rsidR="005741A9">
        <w:t xml:space="preserve">organisations </w:t>
      </w:r>
      <w:r w:rsidR="00A71DE6">
        <w:t>to conduct</w:t>
      </w:r>
      <w:r>
        <w:t xml:space="preserve"> a regular assessment of the detailed experiences of a few of their employees</w:t>
      </w:r>
      <w:r w:rsidR="001D7185">
        <w:t xml:space="preserve">, </w:t>
      </w:r>
      <w:r w:rsidR="001B1A0C">
        <w:t xml:space="preserve">comparing the results from year to year, and taking pro-active steps to benefit their business and their employees. </w:t>
      </w:r>
      <w:r w:rsidR="00CA4196">
        <w:t>A</w:t>
      </w:r>
      <w:r w:rsidR="00D44006">
        <w:t>cademic research might also find such long term studies valuable</w:t>
      </w:r>
      <w:r w:rsidR="001B1A0C">
        <w:t xml:space="preserve">, and enable them to contribute to the development of </w:t>
      </w:r>
      <w:r w:rsidR="001D7185">
        <w:t xml:space="preserve">information and </w:t>
      </w:r>
      <w:r w:rsidR="001B1A0C">
        <w:t>communication strategies.</w:t>
      </w:r>
    </w:p>
    <w:p w:rsidR="006E4552" w:rsidRDefault="006E4552" w:rsidP="00AF41B1"/>
    <w:p w:rsidR="00765EBE" w:rsidRPr="00765EBE" w:rsidRDefault="00765EBE" w:rsidP="00765EBE">
      <w:pPr>
        <w:rPr>
          <w:b/>
          <w:u w:val="single"/>
        </w:rPr>
      </w:pPr>
      <w:r>
        <w:rPr>
          <w:b/>
          <w:u w:val="single"/>
        </w:rPr>
        <w:lastRenderedPageBreak/>
        <w:t>References</w:t>
      </w:r>
    </w:p>
    <w:p w:rsidR="00D641EC" w:rsidRDefault="00480C83" w:rsidP="00D641EC">
      <w:r>
        <w:t>Go-Gulf, (2011).</w:t>
      </w:r>
      <w:r w:rsidR="00D641EC">
        <w:t xml:space="preserve"> </w:t>
      </w:r>
      <w:r w:rsidR="00D641EC" w:rsidRPr="00480C83">
        <w:rPr>
          <w:b/>
        </w:rPr>
        <w:t xml:space="preserve">60 Seconds - Things That Happen </w:t>
      </w:r>
      <w:r>
        <w:rPr>
          <w:b/>
        </w:rPr>
        <w:t>On Internet Every Sixty Seconds</w:t>
      </w:r>
      <w:r w:rsidR="00D641EC" w:rsidRPr="00480C83">
        <w:rPr>
          <w:b/>
        </w:rPr>
        <w:t>,</w:t>
      </w:r>
      <w:r w:rsidR="00D641EC">
        <w:t xml:space="preserve"> </w:t>
      </w:r>
      <w:hyperlink r:id="rId9" w:history="1">
        <w:r w:rsidR="00D641EC" w:rsidRPr="006E4552">
          <w:t>http://www.go-gulf.com/blog/60-seconds</w:t>
        </w:r>
      </w:hyperlink>
      <w:r w:rsidR="00D641EC">
        <w:t>, (Last accessed 20/06/2012)</w:t>
      </w:r>
    </w:p>
    <w:p w:rsidR="006E4552" w:rsidRPr="006E4552" w:rsidRDefault="00480C83" w:rsidP="00D641EC">
      <w:r>
        <w:t>Jackson, T. W., and</w:t>
      </w:r>
      <w:r w:rsidR="006E4552" w:rsidRPr="006E4552">
        <w:t xml:space="preserve"> Farzaneh, P. (2012). </w:t>
      </w:r>
      <w:r w:rsidR="006E4552" w:rsidRPr="00480C83">
        <w:rPr>
          <w:b/>
        </w:rPr>
        <w:t>Theory-based model of factors affecting information overload</w:t>
      </w:r>
      <w:r w:rsidR="006E4552" w:rsidRPr="006E4552">
        <w:t>. International Journal of Information Management,</w:t>
      </w:r>
      <w:r w:rsidR="00A71DE6">
        <w:t xml:space="preserve"> </w:t>
      </w:r>
      <w:r w:rsidR="00A71DE6" w:rsidRPr="00A71DE6">
        <w:t xml:space="preserve">32(6), </w:t>
      </w:r>
      <w:r w:rsidR="00A71DE6">
        <w:t xml:space="preserve">pp. </w:t>
      </w:r>
      <w:r w:rsidR="00A71DE6" w:rsidRPr="00A71DE6">
        <w:t>523-532</w:t>
      </w:r>
    </w:p>
    <w:p w:rsidR="00712737" w:rsidRPr="006E4552" w:rsidRDefault="008D4276" w:rsidP="006E4552">
      <w:r w:rsidRPr="006E4552">
        <w:t>Waller,</w:t>
      </w:r>
      <w:r w:rsidR="00B8380A">
        <w:t xml:space="preserve"> A.</w:t>
      </w:r>
      <w:r w:rsidR="006E4552" w:rsidRPr="006E4552">
        <w:t>,</w:t>
      </w:r>
      <w:r w:rsidRPr="006E4552">
        <w:t xml:space="preserve"> </w:t>
      </w:r>
      <w:r w:rsidR="00B8380A">
        <w:t xml:space="preserve">and </w:t>
      </w:r>
      <w:r w:rsidRPr="006E4552">
        <w:t>Ragsdell,</w:t>
      </w:r>
      <w:r w:rsidR="006E4552" w:rsidRPr="006E4552">
        <w:t xml:space="preserve"> G.</w:t>
      </w:r>
      <w:r w:rsidR="00480C83">
        <w:t xml:space="preserve"> (2012). </w:t>
      </w:r>
      <w:r w:rsidRPr="00480C83">
        <w:rPr>
          <w:b/>
        </w:rPr>
        <w:t>The impact of e-</w:t>
      </w:r>
      <w:r w:rsidR="0080710F">
        <w:rPr>
          <w:b/>
        </w:rPr>
        <w:t xml:space="preserve"> </w:t>
      </w:r>
      <w:r w:rsidRPr="00480C83">
        <w:rPr>
          <w:b/>
        </w:rPr>
        <w:t>mail on work-life balance</w:t>
      </w:r>
      <w:r w:rsidRPr="006E4552">
        <w:t>, Aslib Proceedings, Vol. 64 Iss: 2, pp.154 – 177</w:t>
      </w:r>
    </w:p>
    <w:p w:rsidR="001D7185" w:rsidRDefault="00B8380A" w:rsidP="00B8380A">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Smith, Reid G.</w:t>
      </w:r>
      <w:r w:rsidR="00480C83">
        <w:rPr>
          <w:rFonts w:ascii="Arial" w:eastAsia="Times New Roman" w:hAnsi="Arial" w:cs="Arial"/>
          <w:color w:val="222222"/>
          <w:sz w:val="20"/>
          <w:szCs w:val="20"/>
        </w:rPr>
        <w:t xml:space="preserve">, </w:t>
      </w:r>
      <w:r w:rsidR="001D7185" w:rsidRPr="001D7185">
        <w:rPr>
          <w:rFonts w:ascii="Arial" w:eastAsia="Times New Roman" w:hAnsi="Arial" w:cs="Arial"/>
          <w:color w:val="222222"/>
          <w:sz w:val="20"/>
          <w:szCs w:val="20"/>
        </w:rPr>
        <w:t>and Karen V. Strong</w:t>
      </w:r>
      <w:r w:rsidR="00480C83">
        <w:rPr>
          <w:rFonts w:ascii="Arial" w:eastAsia="Times New Roman" w:hAnsi="Arial" w:cs="Arial"/>
          <w:color w:val="222222"/>
          <w:sz w:val="20"/>
          <w:szCs w:val="20"/>
        </w:rPr>
        <w:t xml:space="preserve">, (2008). </w:t>
      </w:r>
      <w:r w:rsidR="00480C83" w:rsidRPr="00480C83">
        <w:rPr>
          <w:rFonts w:ascii="Arial" w:eastAsia="Times New Roman" w:hAnsi="Arial" w:cs="Arial"/>
          <w:b/>
          <w:color w:val="222222"/>
          <w:sz w:val="20"/>
          <w:szCs w:val="20"/>
        </w:rPr>
        <w:t>The New Communications World.</w:t>
      </w:r>
      <w:r w:rsidR="00480C83">
        <w:rPr>
          <w:rFonts w:ascii="Arial" w:eastAsia="Times New Roman" w:hAnsi="Arial" w:cs="Arial"/>
          <w:color w:val="222222"/>
          <w:sz w:val="20"/>
          <w:szCs w:val="20"/>
        </w:rPr>
        <w:t xml:space="preserve"> </w:t>
      </w:r>
      <w:hyperlink r:id="rId10" w:history="1">
        <w:r w:rsidR="001D7185" w:rsidRPr="00361443">
          <w:rPr>
            <w:rStyle w:val="Hyperlink"/>
            <w:rFonts w:ascii="Arial" w:eastAsia="Times New Roman" w:hAnsi="Arial" w:cs="Arial"/>
            <w:sz w:val="20"/>
            <w:szCs w:val="20"/>
          </w:rPr>
          <w:t>http://www.rgsmithassociates.com/The_New_Communications_World_19-May-2008.pdf</w:t>
        </w:r>
      </w:hyperlink>
      <w:r w:rsidR="00393A9F">
        <w:rPr>
          <w:rFonts w:ascii="Arial" w:eastAsia="Times New Roman" w:hAnsi="Arial" w:cs="Arial"/>
          <w:color w:val="222222"/>
          <w:sz w:val="20"/>
          <w:szCs w:val="20"/>
        </w:rPr>
        <w:t>, (Last Accessed 08/01/2013)</w:t>
      </w:r>
      <w:r w:rsidR="001D7185">
        <w:rPr>
          <w:rFonts w:ascii="Arial" w:eastAsia="Times New Roman" w:hAnsi="Arial" w:cs="Arial"/>
          <w:color w:val="222222"/>
          <w:sz w:val="20"/>
          <w:szCs w:val="20"/>
        </w:rPr>
        <w:t xml:space="preserve"> </w:t>
      </w:r>
    </w:p>
    <w:p w:rsidR="00B8380A" w:rsidRPr="00B8380A" w:rsidRDefault="00B8380A" w:rsidP="00B8380A">
      <w:pPr>
        <w:spacing w:after="0" w:line="240" w:lineRule="auto"/>
        <w:rPr>
          <w:rFonts w:ascii="Arial" w:eastAsia="Times New Roman" w:hAnsi="Arial" w:cs="Arial"/>
          <w:color w:val="222222"/>
          <w:sz w:val="20"/>
          <w:szCs w:val="20"/>
        </w:rPr>
      </w:pPr>
    </w:p>
    <w:p w:rsidR="008D4276" w:rsidRDefault="008D4276" w:rsidP="008D4276">
      <w:r>
        <w:t>Stevento</w:t>
      </w:r>
      <w:r w:rsidR="00B8380A">
        <w:t xml:space="preserve">n </w:t>
      </w:r>
      <w:r>
        <w:t>A</w:t>
      </w:r>
      <w:r w:rsidR="00B8380A">
        <w:t>.</w:t>
      </w:r>
      <w:r>
        <w:t>, Jackson T</w:t>
      </w:r>
      <w:r w:rsidR="00B8380A">
        <w:t>.</w:t>
      </w:r>
      <w:r>
        <w:t xml:space="preserve"> W</w:t>
      </w:r>
      <w:r w:rsidR="00B8380A">
        <w:t>.</w:t>
      </w:r>
      <w:r>
        <w:t>, Hepworth M</w:t>
      </w:r>
      <w:r w:rsidR="00B8380A">
        <w:t>.</w:t>
      </w:r>
      <w:r>
        <w:t>, Curtis S</w:t>
      </w:r>
      <w:r w:rsidR="00B8380A">
        <w:t xml:space="preserve">., Everitt C., (2012). </w:t>
      </w:r>
      <w:r w:rsidRPr="00B8380A">
        <w:rPr>
          <w:b/>
        </w:rPr>
        <w:t>Exploring and modelling elements of information management that contribute towards making positive impacts: an outcome based approach for senior managers</w:t>
      </w:r>
      <w:r w:rsidR="00B8380A" w:rsidRPr="00B8380A">
        <w:rPr>
          <w:b/>
        </w:rPr>
        <w:t xml:space="preserve"> in a local government setting</w:t>
      </w:r>
      <w:r w:rsidR="00B8380A">
        <w:t>.</w:t>
      </w:r>
      <w:r>
        <w:t xml:space="preserve"> International Journal of Information Management, 32(2) pp.158-163</w:t>
      </w:r>
    </w:p>
    <w:p w:rsidR="00712737" w:rsidRDefault="00712737" w:rsidP="00712737"/>
    <w:sectPr w:rsidR="00712737" w:rsidSect="006D41D2">
      <w:footerReference w:type="default" r:id="rId1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A00" w:rsidRDefault="00397A00" w:rsidP="00D80831">
      <w:pPr>
        <w:spacing w:after="0" w:line="240" w:lineRule="auto"/>
      </w:pPr>
      <w:r>
        <w:separator/>
      </w:r>
    </w:p>
  </w:endnote>
  <w:endnote w:type="continuationSeparator" w:id="0">
    <w:p w:rsidR="00397A00" w:rsidRDefault="00397A00" w:rsidP="00D80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535"/>
      <w:docPartObj>
        <w:docPartGallery w:val="Page Numbers (Bottom of Page)"/>
        <w:docPartUnique/>
      </w:docPartObj>
    </w:sdtPr>
    <w:sdtContent>
      <w:p w:rsidR="00882CA4" w:rsidRDefault="00B8380A" w:rsidP="00B8380A">
        <w:pPr>
          <w:pStyle w:val="Footer"/>
        </w:pPr>
        <w:r w:rsidRPr="00B8380A">
          <w:rPr>
            <w:b/>
          </w:rPr>
          <w:t>16Sep2013</w:t>
        </w:r>
        <w:r>
          <w:tab/>
        </w:r>
        <w:r>
          <w:tab/>
        </w:r>
        <w:r w:rsidR="00882CA4" w:rsidRPr="0026541D">
          <w:rPr>
            <w:b/>
          </w:rPr>
          <w:t xml:space="preserve">Page </w:t>
        </w:r>
        <w:r w:rsidR="0097576B" w:rsidRPr="0026541D">
          <w:rPr>
            <w:b/>
          </w:rPr>
          <w:fldChar w:fldCharType="begin"/>
        </w:r>
        <w:r w:rsidR="00882CA4" w:rsidRPr="0026541D">
          <w:rPr>
            <w:b/>
          </w:rPr>
          <w:instrText xml:space="preserve"> PAGE   \* MERGEFORMAT </w:instrText>
        </w:r>
        <w:r w:rsidR="0097576B" w:rsidRPr="0026541D">
          <w:rPr>
            <w:b/>
          </w:rPr>
          <w:fldChar w:fldCharType="separate"/>
        </w:r>
        <w:r w:rsidR="008A7F6E">
          <w:rPr>
            <w:b/>
            <w:noProof/>
          </w:rPr>
          <w:t>1</w:t>
        </w:r>
        <w:r w:rsidR="0097576B" w:rsidRPr="0026541D">
          <w:rPr>
            <w:b/>
          </w:rPr>
          <w:fldChar w:fldCharType="end"/>
        </w:r>
      </w:p>
    </w:sdtContent>
  </w:sdt>
  <w:p w:rsidR="00882CA4" w:rsidRDefault="00882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A00" w:rsidRDefault="00397A00" w:rsidP="00D80831">
      <w:pPr>
        <w:spacing w:after="0" w:line="240" w:lineRule="auto"/>
      </w:pPr>
      <w:r>
        <w:separator/>
      </w:r>
    </w:p>
  </w:footnote>
  <w:footnote w:type="continuationSeparator" w:id="0">
    <w:p w:rsidR="00397A00" w:rsidRDefault="00397A00" w:rsidP="00D80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8EC"/>
    <w:multiLevelType w:val="hybridMultilevel"/>
    <w:tmpl w:val="5718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E1BB2"/>
    <w:multiLevelType w:val="hybridMultilevel"/>
    <w:tmpl w:val="B29CC2A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404893"/>
    <w:multiLevelType w:val="hybridMultilevel"/>
    <w:tmpl w:val="E7F8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CA6DC7"/>
    <w:multiLevelType w:val="hybridMultilevel"/>
    <w:tmpl w:val="57E43D96"/>
    <w:lvl w:ilvl="0" w:tplc="A89E5424">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DD2F77"/>
    <w:multiLevelType w:val="hybridMultilevel"/>
    <w:tmpl w:val="3486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8D2FE8"/>
    <w:rsid w:val="00011C68"/>
    <w:rsid w:val="00015BD8"/>
    <w:rsid w:val="00023968"/>
    <w:rsid w:val="00045783"/>
    <w:rsid w:val="00047DDF"/>
    <w:rsid w:val="000524A3"/>
    <w:rsid w:val="0008527C"/>
    <w:rsid w:val="000A58D2"/>
    <w:rsid w:val="000B625B"/>
    <w:rsid w:val="000C7007"/>
    <w:rsid w:val="001037A9"/>
    <w:rsid w:val="00116343"/>
    <w:rsid w:val="00122A34"/>
    <w:rsid w:val="0014257A"/>
    <w:rsid w:val="001677BC"/>
    <w:rsid w:val="00174964"/>
    <w:rsid w:val="00186BB0"/>
    <w:rsid w:val="00196294"/>
    <w:rsid w:val="001A0F1E"/>
    <w:rsid w:val="001B1A0C"/>
    <w:rsid w:val="001B25DB"/>
    <w:rsid w:val="001B6B9C"/>
    <w:rsid w:val="001D7185"/>
    <w:rsid w:val="001D724C"/>
    <w:rsid w:val="001F65BB"/>
    <w:rsid w:val="0020603F"/>
    <w:rsid w:val="0021627A"/>
    <w:rsid w:val="00220667"/>
    <w:rsid w:val="002327F2"/>
    <w:rsid w:val="00243807"/>
    <w:rsid w:val="00254342"/>
    <w:rsid w:val="0026541D"/>
    <w:rsid w:val="00282310"/>
    <w:rsid w:val="00295428"/>
    <w:rsid w:val="002B0E5E"/>
    <w:rsid w:val="002B516F"/>
    <w:rsid w:val="002C0FBC"/>
    <w:rsid w:val="002D395D"/>
    <w:rsid w:val="00314616"/>
    <w:rsid w:val="00315ED4"/>
    <w:rsid w:val="0033277B"/>
    <w:rsid w:val="003827AB"/>
    <w:rsid w:val="003862CC"/>
    <w:rsid w:val="00392B26"/>
    <w:rsid w:val="00392F96"/>
    <w:rsid w:val="00393A9F"/>
    <w:rsid w:val="00397A00"/>
    <w:rsid w:val="003A0D8D"/>
    <w:rsid w:val="003B7BAB"/>
    <w:rsid w:val="003F502A"/>
    <w:rsid w:val="00400523"/>
    <w:rsid w:val="00430794"/>
    <w:rsid w:val="004647C3"/>
    <w:rsid w:val="00480C83"/>
    <w:rsid w:val="004811F9"/>
    <w:rsid w:val="00483EE5"/>
    <w:rsid w:val="0049028C"/>
    <w:rsid w:val="004A0400"/>
    <w:rsid w:val="004B7B56"/>
    <w:rsid w:val="004D0B41"/>
    <w:rsid w:val="00504FC2"/>
    <w:rsid w:val="00523A5B"/>
    <w:rsid w:val="00524D6B"/>
    <w:rsid w:val="00536AD6"/>
    <w:rsid w:val="00570592"/>
    <w:rsid w:val="005741A9"/>
    <w:rsid w:val="005832F2"/>
    <w:rsid w:val="00594FF2"/>
    <w:rsid w:val="005A18E4"/>
    <w:rsid w:val="005E1B14"/>
    <w:rsid w:val="00601009"/>
    <w:rsid w:val="00611515"/>
    <w:rsid w:val="00624FC2"/>
    <w:rsid w:val="00626B43"/>
    <w:rsid w:val="0067154E"/>
    <w:rsid w:val="00691174"/>
    <w:rsid w:val="006915A0"/>
    <w:rsid w:val="006B2843"/>
    <w:rsid w:val="006C1B7E"/>
    <w:rsid w:val="006D41D2"/>
    <w:rsid w:val="006D7B00"/>
    <w:rsid w:val="006E0882"/>
    <w:rsid w:val="006E4552"/>
    <w:rsid w:val="00712737"/>
    <w:rsid w:val="00720BF2"/>
    <w:rsid w:val="00765EBE"/>
    <w:rsid w:val="007C32B9"/>
    <w:rsid w:val="007F2CF4"/>
    <w:rsid w:val="0080710F"/>
    <w:rsid w:val="00830A15"/>
    <w:rsid w:val="008428AC"/>
    <w:rsid w:val="00847182"/>
    <w:rsid w:val="008727BF"/>
    <w:rsid w:val="00881FAB"/>
    <w:rsid w:val="00882CA4"/>
    <w:rsid w:val="008920EE"/>
    <w:rsid w:val="008A0F43"/>
    <w:rsid w:val="008A7F6E"/>
    <w:rsid w:val="008D2FE8"/>
    <w:rsid w:val="008D360B"/>
    <w:rsid w:val="008D4276"/>
    <w:rsid w:val="008F0C85"/>
    <w:rsid w:val="00904950"/>
    <w:rsid w:val="00905C10"/>
    <w:rsid w:val="00905DF6"/>
    <w:rsid w:val="0090721C"/>
    <w:rsid w:val="00914B09"/>
    <w:rsid w:val="00950A81"/>
    <w:rsid w:val="00966E35"/>
    <w:rsid w:val="0097576B"/>
    <w:rsid w:val="009B5040"/>
    <w:rsid w:val="009B61DE"/>
    <w:rsid w:val="009D4CF7"/>
    <w:rsid w:val="009E525E"/>
    <w:rsid w:val="009F2BEF"/>
    <w:rsid w:val="00A03563"/>
    <w:rsid w:val="00A037DF"/>
    <w:rsid w:val="00A05407"/>
    <w:rsid w:val="00A3160B"/>
    <w:rsid w:val="00A31D99"/>
    <w:rsid w:val="00A362FD"/>
    <w:rsid w:val="00A53200"/>
    <w:rsid w:val="00A71DE6"/>
    <w:rsid w:val="00A87D95"/>
    <w:rsid w:val="00A95A68"/>
    <w:rsid w:val="00AB1842"/>
    <w:rsid w:val="00AB2D75"/>
    <w:rsid w:val="00AF41B1"/>
    <w:rsid w:val="00B07C36"/>
    <w:rsid w:val="00B12A9B"/>
    <w:rsid w:val="00B21EFB"/>
    <w:rsid w:val="00B2570D"/>
    <w:rsid w:val="00B41582"/>
    <w:rsid w:val="00B62FB2"/>
    <w:rsid w:val="00B673F9"/>
    <w:rsid w:val="00B81E33"/>
    <w:rsid w:val="00B8380A"/>
    <w:rsid w:val="00BC7EF1"/>
    <w:rsid w:val="00BD686A"/>
    <w:rsid w:val="00BF47E3"/>
    <w:rsid w:val="00BF76BC"/>
    <w:rsid w:val="00C12CCD"/>
    <w:rsid w:val="00C32B37"/>
    <w:rsid w:val="00C42930"/>
    <w:rsid w:val="00C43FBF"/>
    <w:rsid w:val="00C54030"/>
    <w:rsid w:val="00C6339A"/>
    <w:rsid w:val="00C66FBC"/>
    <w:rsid w:val="00C74D0B"/>
    <w:rsid w:val="00C86DFC"/>
    <w:rsid w:val="00C877D7"/>
    <w:rsid w:val="00C87CC9"/>
    <w:rsid w:val="00CA4196"/>
    <w:rsid w:val="00CB3C24"/>
    <w:rsid w:val="00CB6236"/>
    <w:rsid w:val="00CE3983"/>
    <w:rsid w:val="00CF24A5"/>
    <w:rsid w:val="00CF666A"/>
    <w:rsid w:val="00D25751"/>
    <w:rsid w:val="00D35A05"/>
    <w:rsid w:val="00D35ACC"/>
    <w:rsid w:val="00D44006"/>
    <w:rsid w:val="00D44449"/>
    <w:rsid w:val="00D641EC"/>
    <w:rsid w:val="00D723C8"/>
    <w:rsid w:val="00D765B4"/>
    <w:rsid w:val="00D80831"/>
    <w:rsid w:val="00D94F98"/>
    <w:rsid w:val="00DA0D98"/>
    <w:rsid w:val="00DA2D5F"/>
    <w:rsid w:val="00DB2FF3"/>
    <w:rsid w:val="00DB5D7B"/>
    <w:rsid w:val="00DD50BE"/>
    <w:rsid w:val="00E14D42"/>
    <w:rsid w:val="00E17BAD"/>
    <w:rsid w:val="00E238D6"/>
    <w:rsid w:val="00E24BA7"/>
    <w:rsid w:val="00E44E0D"/>
    <w:rsid w:val="00E52C16"/>
    <w:rsid w:val="00E61C70"/>
    <w:rsid w:val="00E67C71"/>
    <w:rsid w:val="00E909C7"/>
    <w:rsid w:val="00E91C93"/>
    <w:rsid w:val="00EC0FD8"/>
    <w:rsid w:val="00EC41B6"/>
    <w:rsid w:val="00EF609D"/>
    <w:rsid w:val="00EF7DB1"/>
    <w:rsid w:val="00F00A1D"/>
    <w:rsid w:val="00F02FA4"/>
    <w:rsid w:val="00F340BB"/>
    <w:rsid w:val="00F423BB"/>
    <w:rsid w:val="00F67EC5"/>
    <w:rsid w:val="00FB461C"/>
    <w:rsid w:val="00FC3210"/>
    <w:rsid w:val="00FC333D"/>
    <w:rsid w:val="00FF28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563"/>
    <w:pPr>
      <w:ind w:left="720"/>
      <w:contextualSpacing/>
    </w:pPr>
  </w:style>
  <w:style w:type="paragraph" w:styleId="BalloonText">
    <w:name w:val="Balloon Text"/>
    <w:basedOn w:val="Normal"/>
    <w:link w:val="BalloonTextChar"/>
    <w:uiPriority w:val="99"/>
    <w:semiHidden/>
    <w:unhideWhenUsed/>
    <w:rsid w:val="00D7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3C8"/>
    <w:rPr>
      <w:rFonts w:ascii="Tahoma" w:hAnsi="Tahoma" w:cs="Tahoma"/>
      <w:sz w:val="16"/>
      <w:szCs w:val="16"/>
    </w:rPr>
  </w:style>
  <w:style w:type="character" w:styleId="Hyperlink">
    <w:name w:val="Hyperlink"/>
    <w:basedOn w:val="DefaultParagraphFont"/>
    <w:uiPriority w:val="99"/>
    <w:unhideWhenUsed/>
    <w:rsid w:val="00D641EC"/>
    <w:rPr>
      <w:color w:val="0000FF" w:themeColor="hyperlink"/>
      <w:u w:val="single"/>
    </w:rPr>
  </w:style>
  <w:style w:type="character" w:styleId="CommentReference">
    <w:name w:val="annotation reference"/>
    <w:basedOn w:val="DefaultParagraphFont"/>
    <w:uiPriority w:val="99"/>
    <w:semiHidden/>
    <w:unhideWhenUsed/>
    <w:rsid w:val="00B41582"/>
    <w:rPr>
      <w:sz w:val="16"/>
      <w:szCs w:val="16"/>
    </w:rPr>
  </w:style>
  <w:style w:type="paragraph" w:styleId="CommentText">
    <w:name w:val="annotation text"/>
    <w:basedOn w:val="Normal"/>
    <w:link w:val="CommentTextChar"/>
    <w:uiPriority w:val="99"/>
    <w:semiHidden/>
    <w:unhideWhenUsed/>
    <w:rsid w:val="00B41582"/>
    <w:pPr>
      <w:spacing w:line="240" w:lineRule="auto"/>
    </w:pPr>
    <w:rPr>
      <w:sz w:val="20"/>
      <w:szCs w:val="20"/>
    </w:rPr>
  </w:style>
  <w:style w:type="character" w:customStyle="1" w:styleId="CommentTextChar">
    <w:name w:val="Comment Text Char"/>
    <w:basedOn w:val="DefaultParagraphFont"/>
    <w:link w:val="CommentText"/>
    <w:uiPriority w:val="99"/>
    <w:semiHidden/>
    <w:rsid w:val="00B41582"/>
    <w:rPr>
      <w:sz w:val="20"/>
      <w:szCs w:val="20"/>
    </w:rPr>
  </w:style>
  <w:style w:type="paragraph" w:styleId="CommentSubject">
    <w:name w:val="annotation subject"/>
    <w:basedOn w:val="CommentText"/>
    <w:next w:val="CommentText"/>
    <w:link w:val="CommentSubjectChar"/>
    <w:uiPriority w:val="99"/>
    <w:semiHidden/>
    <w:unhideWhenUsed/>
    <w:rsid w:val="00B41582"/>
    <w:rPr>
      <w:b/>
      <w:bCs/>
    </w:rPr>
  </w:style>
  <w:style w:type="character" w:customStyle="1" w:styleId="CommentSubjectChar">
    <w:name w:val="Comment Subject Char"/>
    <w:basedOn w:val="CommentTextChar"/>
    <w:link w:val="CommentSubject"/>
    <w:uiPriority w:val="99"/>
    <w:semiHidden/>
    <w:rsid w:val="00B41582"/>
    <w:rPr>
      <w:b/>
      <w:bCs/>
      <w:sz w:val="20"/>
      <w:szCs w:val="20"/>
    </w:rPr>
  </w:style>
  <w:style w:type="table" w:styleId="TableGrid">
    <w:name w:val="Table Grid"/>
    <w:basedOn w:val="TableNormal"/>
    <w:uiPriority w:val="59"/>
    <w:rsid w:val="00A05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831"/>
  </w:style>
  <w:style w:type="paragraph" w:styleId="Footer">
    <w:name w:val="footer"/>
    <w:basedOn w:val="Normal"/>
    <w:link w:val="FooterChar"/>
    <w:uiPriority w:val="99"/>
    <w:unhideWhenUsed/>
    <w:rsid w:val="00D8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831"/>
  </w:style>
  <w:style w:type="paragraph" w:styleId="NormalWeb">
    <w:name w:val="Normal (Web)"/>
    <w:basedOn w:val="Normal"/>
    <w:uiPriority w:val="99"/>
    <w:semiHidden/>
    <w:unhideWhenUsed/>
    <w:rsid w:val="0071273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563"/>
    <w:pPr>
      <w:ind w:left="720"/>
      <w:contextualSpacing/>
    </w:pPr>
  </w:style>
  <w:style w:type="paragraph" w:styleId="BalloonText">
    <w:name w:val="Balloon Text"/>
    <w:basedOn w:val="Normal"/>
    <w:link w:val="BalloonTextChar"/>
    <w:uiPriority w:val="99"/>
    <w:semiHidden/>
    <w:unhideWhenUsed/>
    <w:rsid w:val="00D7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3C8"/>
    <w:rPr>
      <w:rFonts w:ascii="Tahoma" w:hAnsi="Tahoma" w:cs="Tahoma"/>
      <w:sz w:val="16"/>
      <w:szCs w:val="16"/>
    </w:rPr>
  </w:style>
  <w:style w:type="character" w:styleId="Hyperlink">
    <w:name w:val="Hyperlink"/>
    <w:basedOn w:val="DefaultParagraphFont"/>
    <w:uiPriority w:val="99"/>
    <w:unhideWhenUsed/>
    <w:rsid w:val="00D641EC"/>
    <w:rPr>
      <w:color w:val="0000FF" w:themeColor="hyperlink"/>
      <w:u w:val="single"/>
    </w:rPr>
  </w:style>
  <w:style w:type="character" w:styleId="CommentReference">
    <w:name w:val="annotation reference"/>
    <w:basedOn w:val="DefaultParagraphFont"/>
    <w:uiPriority w:val="99"/>
    <w:semiHidden/>
    <w:unhideWhenUsed/>
    <w:rsid w:val="00B41582"/>
    <w:rPr>
      <w:sz w:val="16"/>
      <w:szCs w:val="16"/>
    </w:rPr>
  </w:style>
  <w:style w:type="paragraph" w:styleId="CommentText">
    <w:name w:val="annotation text"/>
    <w:basedOn w:val="Normal"/>
    <w:link w:val="CommentTextChar"/>
    <w:uiPriority w:val="99"/>
    <w:semiHidden/>
    <w:unhideWhenUsed/>
    <w:rsid w:val="00B41582"/>
    <w:pPr>
      <w:spacing w:line="240" w:lineRule="auto"/>
    </w:pPr>
    <w:rPr>
      <w:sz w:val="20"/>
      <w:szCs w:val="20"/>
    </w:rPr>
  </w:style>
  <w:style w:type="character" w:customStyle="1" w:styleId="CommentTextChar">
    <w:name w:val="Comment Text Char"/>
    <w:basedOn w:val="DefaultParagraphFont"/>
    <w:link w:val="CommentText"/>
    <w:uiPriority w:val="99"/>
    <w:semiHidden/>
    <w:rsid w:val="00B41582"/>
    <w:rPr>
      <w:sz w:val="20"/>
      <w:szCs w:val="20"/>
    </w:rPr>
  </w:style>
  <w:style w:type="paragraph" w:styleId="CommentSubject">
    <w:name w:val="annotation subject"/>
    <w:basedOn w:val="CommentText"/>
    <w:next w:val="CommentText"/>
    <w:link w:val="CommentSubjectChar"/>
    <w:uiPriority w:val="99"/>
    <w:semiHidden/>
    <w:unhideWhenUsed/>
    <w:rsid w:val="00B41582"/>
    <w:rPr>
      <w:b/>
      <w:bCs/>
    </w:rPr>
  </w:style>
  <w:style w:type="character" w:customStyle="1" w:styleId="CommentSubjectChar">
    <w:name w:val="Comment Subject Char"/>
    <w:basedOn w:val="CommentTextChar"/>
    <w:link w:val="CommentSubject"/>
    <w:uiPriority w:val="99"/>
    <w:semiHidden/>
    <w:rsid w:val="00B41582"/>
    <w:rPr>
      <w:b/>
      <w:bCs/>
      <w:sz w:val="20"/>
      <w:szCs w:val="20"/>
    </w:rPr>
  </w:style>
  <w:style w:type="table" w:styleId="TableGrid">
    <w:name w:val="Table Grid"/>
    <w:basedOn w:val="TableNormal"/>
    <w:uiPriority w:val="59"/>
    <w:rsid w:val="00A05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831"/>
  </w:style>
  <w:style w:type="paragraph" w:styleId="Footer">
    <w:name w:val="footer"/>
    <w:basedOn w:val="Normal"/>
    <w:link w:val="FooterChar"/>
    <w:uiPriority w:val="99"/>
    <w:unhideWhenUsed/>
    <w:rsid w:val="00D8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831"/>
  </w:style>
  <w:style w:type="paragraph" w:styleId="NormalWeb">
    <w:name w:val="Normal (Web)"/>
    <w:basedOn w:val="Normal"/>
    <w:uiPriority w:val="99"/>
    <w:semiHidden/>
    <w:unhideWhenUsed/>
    <w:rsid w:val="0071273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158312">
      <w:bodyDiv w:val="1"/>
      <w:marLeft w:val="0"/>
      <w:marRight w:val="0"/>
      <w:marTop w:val="0"/>
      <w:marBottom w:val="0"/>
      <w:divBdr>
        <w:top w:val="none" w:sz="0" w:space="0" w:color="auto"/>
        <w:left w:val="none" w:sz="0" w:space="0" w:color="auto"/>
        <w:bottom w:val="none" w:sz="0" w:space="0" w:color="auto"/>
        <w:right w:val="none" w:sz="0" w:space="0" w:color="auto"/>
      </w:divBdr>
      <w:divsChild>
        <w:div w:id="1702783534">
          <w:marLeft w:val="0"/>
          <w:marRight w:val="0"/>
          <w:marTop w:val="0"/>
          <w:marBottom w:val="0"/>
          <w:divBdr>
            <w:top w:val="none" w:sz="0" w:space="0" w:color="auto"/>
            <w:left w:val="none" w:sz="0" w:space="0" w:color="auto"/>
            <w:bottom w:val="none" w:sz="0" w:space="0" w:color="auto"/>
            <w:right w:val="none" w:sz="0" w:space="0" w:color="auto"/>
          </w:divBdr>
          <w:divsChild>
            <w:div w:id="46416676">
              <w:marLeft w:val="0"/>
              <w:marRight w:val="0"/>
              <w:marTop w:val="0"/>
              <w:marBottom w:val="0"/>
              <w:divBdr>
                <w:top w:val="none" w:sz="0" w:space="0" w:color="auto"/>
                <w:left w:val="none" w:sz="0" w:space="0" w:color="auto"/>
                <w:bottom w:val="none" w:sz="0" w:space="0" w:color="auto"/>
                <w:right w:val="none" w:sz="0" w:space="0" w:color="auto"/>
              </w:divBdr>
              <w:divsChild>
                <w:div w:id="285550975">
                  <w:marLeft w:val="0"/>
                  <w:marRight w:val="0"/>
                  <w:marTop w:val="0"/>
                  <w:marBottom w:val="0"/>
                  <w:divBdr>
                    <w:top w:val="none" w:sz="0" w:space="0" w:color="auto"/>
                    <w:left w:val="none" w:sz="0" w:space="0" w:color="auto"/>
                    <w:bottom w:val="none" w:sz="0" w:space="0" w:color="auto"/>
                    <w:right w:val="none" w:sz="0" w:space="0" w:color="auto"/>
                  </w:divBdr>
                  <w:divsChild>
                    <w:div w:id="1925842688">
                      <w:marLeft w:val="0"/>
                      <w:marRight w:val="0"/>
                      <w:marTop w:val="0"/>
                      <w:marBottom w:val="0"/>
                      <w:divBdr>
                        <w:top w:val="none" w:sz="0" w:space="0" w:color="auto"/>
                        <w:left w:val="none" w:sz="0" w:space="0" w:color="auto"/>
                        <w:bottom w:val="none" w:sz="0" w:space="0" w:color="auto"/>
                        <w:right w:val="none" w:sz="0" w:space="0" w:color="auto"/>
                      </w:divBdr>
                      <w:divsChild>
                        <w:div w:id="702941047">
                          <w:marLeft w:val="0"/>
                          <w:marRight w:val="0"/>
                          <w:marTop w:val="0"/>
                          <w:marBottom w:val="0"/>
                          <w:divBdr>
                            <w:top w:val="none" w:sz="0" w:space="0" w:color="auto"/>
                            <w:left w:val="none" w:sz="0" w:space="0" w:color="auto"/>
                            <w:bottom w:val="none" w:sz="0" w:space="0" w:color="auto"/>
                            <w:right w:val="none" w:sz="0" w:space="0" w:color="auto"/>
                          </w:divBdr>
                          <w:divsChild>
                            <w:div w:id="17550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28794">
      <w:bodyDiv w:val="1"/>
      <w:marLeft w:val="0"/>
      <w:marRight w:val="0"/>
      <w:marTop w:val="120"/>
      <w:marBottom w:val="120"/>
      <w:divBdr>
        <w:top w:val="none" w:sz="0" w:space="0" w:color="auto"/>
        <w:left w:val="none" w:sz="0" w:space="0" w:color="auto"/>
        <w:bottom w:val="none" w:sz="0" w:space="0" w:color="auto"/>
        <w:right w:val="none" w:sz="0" w:space="0" w:color="auto"/>
      </w:divBdr>
      <w:divsChild>
        <w:div w:id="1157574273">
          <w:marLeft w:val="0"/>
          <w:marRight w:val="0"/>
          <w:marTop w:val="0"/>
          <w:marBottom w:val="0"/>
          <w:divBdr>
            <w:top w:val="none" w:sz="0" w:space="0" w:color="auto"/>
            <w:left w:val="none" w:sz="0" w:space="0" w:color="auto"/>
            <w:bottom w:val="none" w:sz="0" w:space="0" w:color="auto"/>
            <w:right w:val="none" w:sz="0" w:space="0" w:color="auto"/>
          </w:divBdr>
          <w:divsChild>
            <w:div w:id="925571269">
              <w:marLeft w:val="3696"/>
              <w:marRight w:val="150"/>
              <w:marTop w:val="0"/>
              <w:marBottom w:val="0"/>
              <w:divBdr>
                <w:top w:val="none" w:sz="0" w:space="0" w:color="auto"/>
                <w:left w:val="none" w:sz="0" w:space="0" w:color="auto"/>
                <w:bottom w:val="none" w:sz="0" w:space="0" w:color="auto"/>
                <w:right w:val="none" w:sz="0" w:space="0" w:color="auto"/>
              </w:divBdr>
              <w:divsChild>
                <w:div w:id="13742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35002">
      <w:bodyDiv w:val="1"/>
      <w:marLeft w:val="0"/>
      <w:marRight w:val="0"/>
      <w:marTop w:val="0"/>
      <w:marBottom w:val="0"/>
      <w:divBdr>
        <w:top w:val="none" w:sz="0" w:space="0" w:color="auto"/>
        <w:left w:val="none" w:sz="0" w:space="0" w:color="auto"/>
        <w:bottom w:val="none" w:sz="0" w:space="0" w:color="auto"/>
        <w:right w:val="none" w:sz="0" w:space="0" w:color="auto"/>
      </w:divBdr>
    </w:div>
    <w:div w:id="1886217950">
      <w:bodyDiv w:val="1"/>
      <w:marLeft w:val="0"/>
      <w:marRight w:val="0"/>
      <w:marTop w:val="0"/>
      <w:marBottom w:val="0"/>
      <w:divBdr>
        <w:top w:val="none" w:sz="0" w:space="0" w:color="auto"/>
        <w:left w:val="none" w:sz="0" w:space="0" w:color="auto"/>
        <w:bottom w:val="none" w:sz="0" w:space="0" w:color="auto"/>
        <w:right w:val="none" w:sz="0" w:space="0" w:color="auto"/>
      </w:divBdr>
    </w:div>
    <w:div w:id="19764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ilsonofc@btinter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w.jackson@lboro.ac.uk"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gsmithassociates.com/The_New_Communications_World_19-May-2008.pdf" TargetMode="External"/><Relationship Id="rId4" Type="http://schemas.openxmlformats.org/officeDocument/2006/relationships/webSettings" Target="webSettings.xml"/><Relationship Id="rId9" Type="http://schemas.openxmlformats.org/officeDocument/2006/relationships/hyperlink" Target="http://www.go-gulf.com/blog/60-sec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6</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t:lpstr>
    </vt:vector>
  </TitlesOfParts>
  <Company>Loughborough University</Company>
  <LinksUpToDate>false</LinksUpToDate>
  <CharactersWithSpaces>16751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Paul</dc:creator>
  <cp:lastModifiedBy>Paul</cp:lastModifiedBy>
  <cp:revision>10</cp:revision>
  <dcterms:created xsi:type="dcterms:W3CDTF">2013-09-16T06:24:00Z</dcterms:created>
  <dcterms:modified xsi:type="dcterms:W3CDTF">2013-09-16T16:33:00Z</dcterms:modified>
</cp:coreProperties>
</file>