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A7DB" w14:textId="3370CAC0" w:rsidR="005D3EA9" w:rsidRPr="009232FA" w:rsidRDefault="00311883">
      <w:pPr>
        <w:rPr>
          <w:b/>
          <w:bCs/>
          <w:sz w:val="28"/>
          <w:szCs w:val="28"/>
        </w:rPr>
      </w:pPr>
      <w:r>
        <w:rPr>
          <w:b/>
          <w:bCs/>
          <w:sz w:val="28"/>
          <w:szCs w:val="28"/>
        </w:rPr>
        <w:t>Memento Collection</w:t>
      </w:r>
      <w:r w:rsidR="00713035" w:rsidRPr="009232FA">
        <w:rPr>
          <w:b/>
          <w:bCs/>
          <w:sz w:val="28"/>
          <w:szCs w:val="28"/>
        </w:rPr>
        <w:t xml:space="preserve"> </w:t>
      </w:r>
      <w:r>
        <w:rPr>
          <w:b/>
          <w:bCs/>
          <w:sz w:val="28"/>
          <w:szCs w:val="28"/>
        </w:rPr>
        <w:t xml:space="preserve">- </w:t>
      </w:r>
      <w:r w:rsidR="00713035" w:rsidRPr="009232FA">
        <w:rPr>
          <w:b/>
          <w:bCs/>
          <w:sz w:val="28"/>
          <w:szCs w:val="28"/>
        </w:rPr>
        <w:t>AI Preparedness</w:t>
      </w:r>
    </w:p>
    <w:p w14:paraId="4132050E" w14:textId="16180B44" w:rsidR="00311883" w:rsidRDefault="00713035">
      <w:r>
        <w:t xml:space="preserve">The recent publication </w:t>
      </w:r>
      <w:hyperlink r:id="rId5" w:history="1">
        <w:r w:rsidRPr="00E23316">
          <w:rPr>
            <w:rStyle w:val="Hyperlink"/>
          </w:rPr>
          <w:t>“AI preparedness guidelines for archivists”</w:t>
        </w:r>
      </w:hyperlink>
      <w:r>
        <w:t xml:space="preserve"> by </w:t>
      </w:r>
      <w:r w:rsidRPr="00713035">
        <w:t>Prof. Giovanni Colavizza</w:t>
      </w:r>
      <w:r>
        <w:t xml:space="preserve"> </w:t>
      </w:r>
      <w:r w:rsidRPr="00713035">
        <w:t>and</w:t>
      </w:r>
      <w:r w:rsidRPr="00713035">
        <w:cr/>
        <w:t>Prof. Lise Jaillant</w:t>
      </w:r>
      <w:r>
        <w:t xml:space="preserve">, suggests that </w:t>
      </w:r>
      <w:r w:rsidRPr="00713035">
        <w:t>AI will only be useful and trustworthy if the underlying collections are prepared along four main dimensions: completeness, metadata and access, data types and formats, and application-speciﬁc metrics</w:t>
      </w:r>
      <w:r>
        <w:t xml:space="preserve">. This </w:t>
      </w:r>
      <w:r w:rsidR="003F078F">
        <w:t>document follow</w:t>
      </w:r>
      <w:r w:rsidR="00BA0A91">
        <w:t>s</w:t>
      </w:r>
      <w:r w:rsidR="003F078F">
        <w:t xml:space="preserve"> those guidelines and makes</w:t>
      </w:r>
      <w:r>
        <w:t xml:space="preserve"> a</w:t>
      </w:r>
      <w:r w:rsidR="00311883">
        <w:t xml:space="preserve">n assessment of Preparedness activities that will need to be performed on the PAW Memento collection prior to building AI support for the collection. </w:t>
      </w:r>
    </w:p>
    <w:p w14:paraId="7376651A" w14:textId="1D1F0A6E" w:rsidR="009D7C33" w:rsidRDefault="00311883">
      <w:r>
        <w:t xml:space="preserve">Note that it has already been decided that the exploration of how to build AI support for personal archives </w:t>
      </w:r>
      <w:r w:rsidR="009D7C33">
        <w:t>could</w:t>
      </w:r>
      <w:r>
        <w:t xml:space="preserve"> be conducted in </w:t>
      </w:r>
      <w:r w:rsidR="009D7C33">
        <w:t>the</w:t>
      </w:r>
      <w:r>
        <w:t xml:space="preserve"> phases</w:t>
      </w:r>
      <w:r w:rsidR="009D7C33">
        <w:t xml:space="preserve"> listed below. This is the process th</w:t>
      </w:r>
      <w:r w:rsidR="003F078F">
        <w:t>at is being</w:t>
      </w:r>
      <w:r w:rsidR="009D7C33">
        <w:t xml:space="preserve"> followed subject to potential revision as </w:t>
      </w:r>
      <w:r w:rsidR="00C74684">
        <w:t>experience is gained</w:t>
      </w:r>
      <w:r w:rsidR="00906562">
        <w:t>.</w:t>
      </w:r>
    </w:p>
    <w:p w14:paraId="698031FE" w14:textId="490BA6F2" w:rsidR="00713035" w:rsidRDefault="00311883" w:rsidP="003836EA">
      <w:pPr>
        <w:pStyle w:val="ListParagraph"/>
        <w:numPr>
          <w:ilvl w:val="0"/>
          <w:numId w:val="6"/>
        </w:numPr>
      </w:pPr>
      <w:r>
        <w:t xml:space="preserve">AI support for the Memento collection’s </w:t>
      </w:r>
      <w:r w:rsidR="009D7C33">
        <w:t>in</w:t>
      </w:r>
      <w:r>
        <w:t>dex</w:t>
      </w:r>
      <w:r w:rsidR="009D7C33">
        <w:t xml:space="preserve"> entries;</w:t>
      </w:r>
      <w:r>
        <w:t xml:space="preserve"> </w:t>
      </w:r>
    </w:p>
    <w:p w14:paraId="5E34AB65" w14:textId="15898B33" w:rsidR="009D7C33" w:rsidRDefault="009D7C33" w:rsidP="003836EA">
      <w:pPr>
        <w:pStyle w:val="ListParagraph"/>
        <w:numPr>
          <w:ilvl w:val="0"/>
          <w:numId w:val="6"/>
        </w:numPr>
      </w:pPr>
      <w:r>
        <w:t>AI support for the Memento collection’s combined Index entries and file titles;</w:t>
      </w:r>
    </w:p>
    <w:p w14:paraId="29F72C32" w14:textId="58ADE58A" w:rsidR="009D7C33" w:rsidRDefault="009D7C33" w:rsidP="003836EA">
      <w:pPr>
        <w:pStyle w:val="ListParagraph"/>
        <w:numPr>
          <w:ilvl w:val="0"/>
          <w:numId w:val="6"/>
        </w:numPr>
      </w:pPr>
      <w:r>
        <w:t>AI support for the Memento collection’s index entries, file titles and textual items;</w:t>
      </w:r>
    </w:p>
    <w:p w14:paraId="0B3A5E2E" w14:textId="5F1075F1" w:rsidR="009D7C33" w:rsidRDefault="009D7C33" w:rsidP="003836EA">
      <w:pPr>
        <w:pStyle w:val="ListParagraph"/>
        <w:numPr>
          <w:ilvl w:val="0"/>
          <w:numId w:val="6"/>
        </w:numPr>
      </w:pPr>
      <w:r>
        <w:t>AI support for PAWDOC’s index entries;</w:t>
      </w:r>
    </w:p>
    <w:p w14:paraId="4E295872" w14:textId="2935A3FC" w:rsidR="009D7C33" w:rsidRDefault="009D7C33" w:rsidP="003836EA">
      <w:pPr>
        <w:pStyle w:val="ListParagraph"/>
        <w:numPr>
          <w:ilvl w:val="0"/>
          <w:numId w:val="6"/>
        </w:numPr>
      </w:pPr>
      <w:r>
        <w:t>AI support for PAWDOC’s combined index entries and file titles</w:t>
      </w:r>
    </w:p>
    <w:p w14:paraId="0F5AE17F" w14:textId="4BD464EF" w:rsidR="009D7C33" w:rsidRDefault="009D7C33" w:rsidP="003836EA">
      <w:pPr>
        <w:pStyle w:val="ListParagraph"/>
        <w:numPr>
          <w:ilvl w:val="0"/>
          <w:numId w:val="6"/>
        </w:numPr>
      </w:pPr>
      <w:r>
        <w:t>AI support for PAWDOC’s combined index entries, file titles, and  some or all of the born digital items</w:t>
      </w:r>
    </w:p>
    <w:p w14:paraId="26CC46C5" w14:textId="4C9E2290" w:rsidR="009D7C33" w:rsidRDefault="009D7C33" w:rsidP="003836EA">
      <w:pPr>
        <w:pStyle w:val="ListParagraph"/>
        <w:numPr>
          <w:ilvl w:val="0"/>
          <w:numId w:val="6"/>
        </w:numPr>
      </w:pPr>
      <w:r>
        <w:t>AI support for a subset of PAWDOC’s scanned items</w:t>
      </w:r>
    </w:p>
    <w:p w14:paraId="59CC1F16" w14:textId="223EE57B" w:rsidR="009D7C33" w:rsidRDefault="009D7C33" w:rsidP="003836EA">
      <w:pPr>
        <w:pStyle w:val="ListParagraph"/>
        <w:numPr>
          <w:ilvl w:val="0"/>
          <w:numId w:val="6"/>
        </w:numPr>
      </w:pPr>
      <w:r>
        <w:t>AI support for a combination of index entries, file titles, some born digital material and some scanned items</w:t>
      </w:r>
    </w:p>
    <w:p w14:paraId="36AA9D46" w14:textId="4233CC13" w:rsidR="009D7C33" w:rsidRDefault="009D7C33" w:rsidP="003836EA">
      <w:pPr>
        <w:pStyle w:val="ListParagraph"/>
        <w:numPr>
          <w:ilvl w:val="0"/>
          <w:numId w:val="6"/>
        </w:numPr>
      </w:pPr>
      <w:r>
        <w:t>AI support for the whole of PAWDOC</w:t>
      </w:r>
    </w:p>
    <w:p w14:paraId="46986740" w14:textId="2C38B22C" w:rsidR="003F078F" w:rsidRDefault="003F078F" w:rsidP="00333721">
      <w:r>
        <w:t xml:space="preserve">The Memento collection started as an assembly of memorabilia from the lives of Paul and Su Wilson from 1949 to the present day. It was extended in the 2020s to include computer artefacts and other items retained for show in a display cabinet; as well as memorabilia from the life of Maisie Wilson (Paul Wilson’s son). </w:t>
      </w:r>
      <w:r w:rsidR="00BA0A91">
        <w:t>Items in the collection are diverse in nature. Many are simply photos of objects. All items are in digital form with only a subset of physical items having been retained. All collection items are recorded in an Excel index.</w:t>
      </w:r>
    </w:p>
    <w:p w14:paraId="08BA1161" w14:textId="6B0DEEF5" w:rsidR="00C07F88" w:rsidRDefault="00FC12DF" w:rsidP="00333721">
      <w:r>
        <w:t xml:space="preserve">The </w:t>
      </w:r>
      <w:proofErr w:type="spellStart"/>
      <w:r>
        <w:t>Colavizza</w:t>
      </w:r>
      <w:proofErr w:type="spellEnd"/>
      <w:r>
        <w:t>/</w:t>
      </w:r>
      <w:proofErr w:type="spellStart"/>
      <w:r>
        <w:t>Jaillant</w:t>
      </w:r>
      <w:proofErr w:type="spellEnd"/>
      <w:r>
        <w:t xml:space="preserve"> document identifies 4 dimensions (pillars) of AI Preparedness. </w:t>
      </w:r>
      <w:r w:rsidR="00C07F88">
        <w:t xml:space="preserve">Notes on </w:t>
      </w:r>
      <w:r w:rsidR="00BA0A91">
        <w:t xml:space="preserve">the status of the Mementos collection preparedness are listed in the table below. Mem(Index) refers to the preparedness of the </w:t>
      </w:r>
      <w:r w:rsidR="00713B5D">
        <w:t>collection’s</w:t>
      </w:r>
      <w:r w:rsidR="00BA0A91">
        <w:t xml:space="preserve"> Index only. Mem(Items) refers to the</w:t>
      </w:r>
      <w:r w:rsidR="00713B5D">
        <w:t xml:space="preserve"> preparedness of the collection’s items only. Mem(All) refers to the preparedness of all aspects of the collection.</w:t>
      </w:r>
    </w:p>
    <w:p w14:paraId="133FDEBD" w14:textId="183A07A2" w:rsidR="00C07F88" w:rsidRPr="00512428" w:rsidRDefault="0004729F" w:rsidP="00333721">
      <w:pPr>
        <w:rPr>
          <w:b/>
          <w:bCs/>
        </w:rPr>
      </w:pPr>
      <w:r w:rsidRPr="00512428">
        <w:rPr>
          <w:b/>
          <w:bCs/>
        </w:rPr>
        <w:t>Pillar 1 – Completeness and excluded data</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5"/>
        <w:gridCol w:w="4813"/>
        <w:gridCol w:w="1788"/>
      </w:tblGrid>
      <w:tr w:rsidR="00477A0D" w:rsidRPr="00512428" w14:paraId="48A928CA" w14:textId="643DF348" w:rsidTr="00962D80">
        <w:trPr>
          <w:cantSplit/>
          <w:tblHeader/>
        </w:trPr>
        <w:tc>
          <w:tcPr>
            <w:tcW w:w="2399" w:type="dxa"/>
          </w:tcPr>
          <w:p w14:paraId="34EE5F9D" w14:textId="3D646994" w:rsidR="00477A0D" w:rsidRPr="00512428" w:rsidRDefault="00477A0D" w:rsidP="00DE4423">
            <w:pPr>
              <w:rPr>
                <w:b/>
                <w:bCs/>
              </w:rPr>
            </w:pPr>
            <w:r w:rsidRPr="00512428">
              <w:rPr>
                <w:b/>
                <w:bCs/>
              </w:rPr>
              <w:t>Preparedness criteria</w:t>
            </w:r>
          </w:p>
        </w:tc>
        <w:tc>
          <w:tcPr>
            <w:tcW w:w="4826" w:type="dxa"/>
          </w:tcPr>
          <w:p w14:paraId="37D6DB55" w14:textId="396CD199" w:rsidR="00477A0D" w:rsidRPr="00512428" w:rsidRDefault="00477A0D" w:rsidP="00DE4423">
            <w:pPr>
              <w:rPr>
                <w:b/>
                <w:bCs/>
              </w:rPr>
            </w:pPr>
            <w:r>
              <w:rPr>
                <w:b/>
                <w:bCs/>
              </w:rPr>
              <w:t>Memento Collection Preparedness</w:t>
            </w:r>
          </w:p>
        </w:tc>
        <w:tc>
          <w:tcPr>
            <w:tcW w:w="1791" w:type="dxa"/>
          </w:tcPr>
          <w:p w14:paraId="37AB03E0" w14:textId="7C414744" w:rsidR="00477A0D" w:rsidRDefault="00477A0D" w:rsidP="00DE4423">
            <w:pPr>
              <w:rPr>
                <w:b/>
                <w:bCs/>
              </w:rPr>
            </w:pPr>
            <w:r>
              <w:rPr>
                <w:b/>
                <w:bCs/>
              </w:rPr>
              <w:t xml:space="preserve">Action </w:t>
            </w:r>
            <w:r w:rsidR="000053D1">
              <w:rPr>
                <w:b/>
                <w:bCs/>
              </w:rPr>
              <w:t>R</w:t>
            </w:r>
            <w:r>
              <w:rPr>
                <w:b/>
                <w:bCs/>
              </w:rPr>
              <w:t>equired</w:t>
            </w:r>
          </w:p>
        </w:tc>
      </w:tr>
      <w:tr w:rsidR="00477A0D" w:rsidRPr="00BB1A41" w14:paraId="5B70B326" w14:textId="36C06AD6" w:rsidTr="00962D80">
        <w:trPr>
          <w:cantSplit/>
        </w:trPr>
        <w:tc>
          <w:tcPr>
            <w:tcW w:w="2399" w:type="dxa"/>
          </w:tcPr>
          <w:p w14:paraId="376B245B" w14:textId="7937C1D5" w:rsidR="00477A0D" w:rsidRPr="00BB1A41" w:rsidRDefault="00477A0D" w:rsidP="00DE4423">
            <w:r w:rsidRPr="00BB1A41">
              <w:t>•  Are all items digitised, or only a subset?</w:t>
            </w:r>
          </w:p>
        </w:tc>
        <w:tc>
          <w:tcPr>
            <w:tcW w:w="4826" w:type="dxa"/>
          </w:tcPr>
          <w:p w14:paraId="6D1C6C7F" w14:textId="77777777" w:rsidR="00477A0D" w:rsidRDefault="00477A0D" w:rsidP="00BA0A91">
            <w:r w:rsidRPr="00713B5D">
              <w:t>Mem(</w:t>
            </w:r>
            <w:r>
              <w:t>Index) – digitised in an Excel spreadsheet</w:t>
            </w:r>
          </w:p>
          <w:p w14:paraId="245E946C" w14:textId="02D466CA" w:rsidR="00477A0D" w:rsidRPr="00713B5D" w:rsidRDefault="00477A0D" w:rsidP="00BA0A91">
            <w:r>
              <w:t xml:space="preserve">Mem(Items) – all digitised. Most are photos; some are text but they have not been </w:t>
            </w:r>
            <w:proofErr w:type="spellStart"/>
            <w:r>
              <w:t>OCR’d</w:t>
            </w:r>
            <w:proofErr w:type="spellEnd"/>
            <w:r>
              <w:t>.</w:t>
            </w:r>
          </w:p>
        </w:tc>
        <w:tc>
          <w:tcPr>
            <w:tcW w:w="1791" w:type="dxa"/>
          </w:tcPr>
          <w:p w14:paraId="0ECF7201" w14:textId="7C5B7DA1" w:rsidR="00477A0D" w:rsidRPr="00713B5D" w:rsidRDefault="00477A0D" w:rsidP="00BA0A91">
            <w:r>
              <w:t>None</w:t>
            </w:r>
          </w:p>
        </w:tc>
      </w:tr>
      <w:tr w:rsidR="00477A0D" w:rsidRPr="00BB1A41" w14:paraId="2EEF4853" w14:textId="4755572C" w:rsidTr="00962D80">
        <w:trPr>
          <w:cantSplit/>
        </w:trPr>
        <w:tc>
          <w:tcPr>
            <w:tcW w:w="2399" w:type="dxa"/>
          </w:tcPr>
          <w:p w14:paraId="2FF46276" w14:textId="483B5F8A" w:rsidR="00477A0D" w:rsidRPr="00BB1A41" w:rsidRDefault="00477A0D" w:rsidP="00DE4423">
            <w:r w:rsidRPr="00BB1A41">
              <w:t>•  Are certain periods, creators, or communities missing or under</w:t>
            </w:r>
            <w:r>
              <w:t xml:space="preserve"> </w:t>
            </w:r>
            <w:r w:rsidRPr="00BB1A41">
              <w:t>represented?</w:t>
            </w:r>
          </w:p>
        </w:tc>
        <w:tc>
          <w:tcPr>
            <w:tcW w:w="4826" w:type="dxa"/>
          </w:tcPr>
          <w:p w14:paraId="4D722481" w14:textId="59F41B05" w:rsidR="00477A0D" w:rsidRPr="00713B5D" w:rsidRDefault="00477A0D" w:rsidP="00DE4423">
            <w:r w:rsidRPr="00713B5D">
              <w:t>Mem(All) – there is no under-representation: what is present in the collection, is the collection</w:t>
            </w:r>
            <w:r>
              <w:t>.</w:t>
            </w:r>
          </w:p>
        </w:tc>
        <w:tc>
          <w:tcPr>
            <w:tcW w:w="1791" w:type="dxa"/>
          </w:tcPr>
          <w:p w14:paraId="2FFDFF6A" w14:textId="1FEA128E" w:rsidR="00477A0D" w:rsidRPr="00713B5D" w:rsidRDefault="00477A0D" w:rsidP="00DE4423">
            <w:r>
              <w:t>None</w:t>
            </w:r>
          </w:p>
        </w:tc>
      </w:tr>
      <w:tr w:rsidR="00477A0D" w:rsidRPr="00BB1A41" w14:paraId="46295F80" w14:textId="3E3C4379" w:rsidTr="00962D80">
        <w:trPr>
          <w:cantSplit/>
        </w:trPr>
        <w:tc>
          <w:tcPr>
            <w:tcW w:w="2399" w:type="dxa"/>
          </w:tcPr>
          <w:p w14:paraId="0EADA854" w14:textId="012C4103" w:rsidR="00477A0D" w:rsidRPr="00BB1A41" w:rsidRDefault="00477A0D" w:rsidP="00DE4423">
            <w:r w:rsidRPr="00BB1A41">
              <w:lastRenderedPageBreak/>
              <w:t>•  Have some records been deliberately excluded (e.g. for legal or privacy</w:t>
            </w:r>
            <w:r w:rsidRPr="00BB1A41">
              <w:cr/>
              <w:t>reasons)?</w:t>
            </w:r>
          </w:p>
        </w:tc>
        <w:tc>
          <w:tcPr>
            <w:tcW w:w="4826" w:type="dxa"/>
          </w:tcPr>
          <w:p w14:paraId="371F4867" w14:textId="4AE0409D" w:rsidR="00477A0D" w:rsidRPr="00581E61" w:rsidRDefault="00477A0D" w:rsidP="00DE4423">
            <w:r w:rsidRPr="00581E61">
              <w:t>Mem(</w:t>
            </w:r>
            <w:r>
              <w:t>All) – No</w:t>
            </w:r>
            <w:r w:rsidR="0041105E">
              <w:t xml:space="preserve"> records</w:t>
            </w:r>
            <w:r>
              <w:t xml:space="preserve"> </w:t>
            </w:r>
            <w:r w:rsidR="0041105E">
              <w:t>are to be</w:t>
            </w:r>
            <w:r>
              <w:t xml:space="preserve"> excluded</w:t>
            </w:r>
            <w:r w:rsidR="0041105E">
              <w:t xml:space="preserve">. </w:t>
            </w:r>
          </w:p>
        </w:tc>
        <w:tc>
          <w:tcPr>
            <w:tcW w:w="1791" w:type="dxa"/>
          </w:tcPr>
          <w:p w14:paraId="28F55B1D" w14:textId="075ECE74" w:rsidR="00477A0D" w:rsidRPr="00581E61" w:rsidRDefault="00CE52F2" w:rsidP="00DE4423">
            <w:r>
              <w:t>None</w:t>
            </w:r>
          </w:p>
        </w:tc>
      </w:tr>
    </w:tbl>
    <w:p w14:paraId="53A40291" w14:textId="77777777" w:rsidR="00FC12DF" w:rsidRDefault="00FC12DF" w:rsidP="00333721">
      <w:pPr>
        <w:rPr>
          <w:b/>
          <w:bCs/>
        </w:rPr>
      </w:pPr>
    </w:p>
    <w:p w14:paraId="5B9E0032" w14:textId="29B303C2" w:rsidR="0004729F" w:rsidRPr="00512428" w:rsidRDefault="0004729F" w:rsidP="00333721">
      <w:pPr>
        <w:rPr>
          <w:b/>
          <w:bCs/>
        </w:rPr>
      </w:pPr>
      <w:r w:rsidRPr="00512428">
        <w:rPr>
          <w:b/>
          <w:bCs/>
        </w:rPr>
        <w:t>Pillar 2 – Metadata and access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27"/>
        <w:gridCol w:w="4479"/>
        <w:gridCol w:w="1790"/>
      </w:tblGrid>
      <w:tr w:rsidR="00477A0D" w:rsidRPr="00512428" w14:paraId="075C05FD" w14:textId="702591D3" w:rsidTr="00962D80">
        <w:trPr>
          <w:cantSplit/>
          <w:tblHeader/>
        </w:trPr>
        <w:tc>
          <w:tcPr>
            <w:tcW w:w="2732" w:type="dxa"/>
          </w:tcPr>
          <w:p w14:paraId="543DDABC" w14:textId="77777777" w:rsidR="00477A0D" w:rsidRPr="00512428" w:rsidRDefault="00477A0D" w:rsidP="00953BE3">
            <w:pPr>
              <w:rPr>
                <w:b/>
                <w:bCs/>
              </w:rPr>
            </w:pPr>
            <w:r w:rsidRPr="00512428">
              <w:rPr>
                <w:b/>
                <w:bCs/>
              </w:rPr>
              <w:t>Preparedness criteria</w:t>
            </w:r>
          </w:p>
        </w:tc>
        <w:tc>
          <w:tcPr>
            <w:tcW w:w="4493" w:type="dxa"/>
          </w:tcPr>
          <w:p w14:paraId="63FD4C11" w14:textId="4E7FD68B" w:rsidR="00477A0D" w:rsidRPr="00512428" w:rsidRDefault="007C4291" w:rsidP="00953BE3">
            <w:pPr>
              <w:rPr>
                <w:b/>
                <w:bCs/>
              </w:rPr>
            </w:pPr>
            <w:r>
              <w:rPr>
                <w:b/>
                <w:bCs/>
              </w:rPr>
              <w:t>Memento Collection Preparedness</w:t>
            </w:r>
          </w:p>
        </w:tc>
        <w:tc>
          <w:tcPr>
            <w:tcW w:w="1791" w:type="dxa"/>
          </w:tcPr>
          <w:p w14:paraId="6C584C74" w14:textId="5574BA58" w:rsidR="00477A0D" w:rsidRPr="00512428" w:rsidRDefault="000053D1" w:rsidP="00953BE3">
            <w:pPr>
              <w:rPr>
                <w:b/>
                <w:bCs/>
              </w:rPr>
            </w:pPr>
            <w:r>
              <w:rPr>
                <w:b/>
                <w:bCs/>
              </w:rPr>
              <w:t>Action Required</w:t>
            </w:r>
          </w:p>
        </w:tc>
      </w:tr>
      <w:tr w:rsidR="00477A0D" w:rsidRPr="00BB1A41" w14:paraId="7B785066" w14:textId="1279E146" w:rsidTr="00962D80">
        <w:trPr>
          <w:cantSplit/>
        </w:trPr>
        <w:tc>
          <w:tcPr>
            <w:tcW w:w="2732" w:type="dxa"/>
          </w:tcPr>
          <w:p w14:paraId="705E7E45" w14:textId="5F4200BB" w:rsidR="00477A0D" w:rsidRPr="00BB1A41" w:rsidRDefault="00477A0D" w:rsidP="00953BE3">
            <w:r w:rsidRPr="0004729F">
              <w:t>•  Item-level metadata</w:t>
            </w:r>
            <w:r>
              <w:t xml:space="preserve"> (</w:t>
            </w:r>
            <w:r w:rsidRPr="0004729F">
              <w:t>Even minimal item-level data (date, creator, brief title) greatly improves retrieval</w:t>
            </w:r>
            <w:r w:rsidRPr="0004729F">
              <w:cr/>
              <w:t>and AI-assisted description</w:t>
            </w:r>
            <w:r>
              <w:t>)</w:t>
            </w:r>
            <w:r w:rsidRPr="0004729F">
              <w:t>.</w:t>
            </w:r>
          </w:p>
        </w:tc>
        <w:tc>
          <w:tcPr>
            <w:tcW w:w="4493" w:type="dxa"/>
          </w:tcPr>
          <w:p w14:paraId="4747771F" w14:textId="21C98B18" w:rsidR="00477A0D" w:rsidRDefault="00477A0D" w:rsidP="00047DD8">
            <w:r w:rsidRPr="00581E61">
              <w:t>Mem(Index) – a full set of data is available in 14 fields in the Index</w:t>
            </w:r>
            <w:r>
              <w:t>.</w:t>
            </w:r>
            <w:r w:rsidR="0041105E">
              <w:t xml:space="preserve"> </w:t>
            </w:r>
            <w:r w:rsidR="00CE52F2">
              <w:t>However, there are several additional fields to do with my views of how the collection may be used by others, now and in the future, and these are to be excluded from this exercise (columns O to AO). Furthermore, there are other analysis fields in place in columns AP to BX. All these columns are to be excluded as well.</w:t>
            </w:r>
          </w:p>
          <w:p w14:paraId="2913E657" w14:textId="3FB60681" w:rsidR="00477A0D" w:rsidRPr="00581E61" w:rsidRDefault="00477A0D" w:rsidP="00047DD8">
            <w:r>
              <w:t>Mem(Items) – each of the digitised items has a file name comprising a Reference Number, a short description, and a date.</w:t>
            </w:r>
          </w:p>
        </w:tc>
        <w:tc>
          <w:tcPr>
            <w:tcW w:w="1791" w:type="dxa"/>
          </w:tcPr>
          <w:p w14:paraId="7972C676" w14:textId="77777777" w:rsidR="00477A0D" w:rsidRDefault="00477A0D" w:rsidP="00047DD8">
            <w:r>
              <w:t>Mem(</w:t>
            </w:r>
            <w:r w:rsidR="00CE52F2">
              <w:t>Index</w:t>
            </w:r>
            <w:r>
              <w:t>) - Ensure completeness and normalisation</w:t>
            </w:r>
          </w:p>
          <w:p w14:paraId="68C3F9E4" w14:textId="096305D1" w:rsidR="00CE52F2" w:rsidRPr="00581E61" w:rsidRDefault="00CE52F2" w:rsidP="00047DD8">
            <w:r>
              <w:t>Mem(Index) Remove columns O to BX from the file used for this AI work.</w:t>
            </w:r>
          </w:p>
        </w:tc>
      </w:tr>
      <w:tr w:rsidR="00477A0D" w:rsidRPr="00BB1A41" w14:paraId="5C5C22A1" w14:textId="41569A43" w:rsidTr="00962D80">
        <w:trPr>
          <w:cantSplit/>
        </w:trPr>
        <w:tc>
          <w:tcPr>
            <w:tcW w:w="2732" w:type="dxa"/>
          </w:tcPr>
          <w:p w14:paraId="2275A9C9" w14:textId="7D276C34" w:rsidR="00477A0D" w:rsidRPr="0004729F" w:rsidRDefault="00477A0D" w:rsidP="00953BE3">
            <w:r w:rsidRPr="0004729F">
              <w:t>•  Provenance and relationships</w:t>
            </w:r>
            <w:r w:rsidRPr="0004729F">
              <w:cr/>
              <w:t>Information about where records come from, how they are organised (serie</w:t>
            </w:r>
            <w:r>
              <w:t xml:space="preserve">s </w:t>
            </w:r>
            <w:r w:rsidRPr="0004729F">
              <w:t>sub-series),</w:t>
            </w:r>
            <w:r>
              <w:t xml:space="preserve"> </w:t>
            </w:r>
            <w:r w:rsidRPr="0004729F">
              <w:t>and how they relate to each other must be preserved and made</w:t>
            </w:r>
            <w:r>
              <w:t xml:space="preserve"> </w:t>
            </w:r>
            <w:r w:rsidRPr="0004729F">
              <w:t>readable by machines and humans</w:t>
            </w:r>
            <w:r>
              <w:t>)</w:t>
            </w:r>
          </w:p>
        </w:tc>
        <w:tc>
          <w:tcPr>
            <w:tcW w:w="4493" w:type="dxa"/>
          </w:tcPr>
          <w:p w14:paraId="172D648B" w14:textId="35F9ED80" w:rsidR="00477A0D" w:rsidRDefault="00477A0D" w:rsidP="00047DD8">
            <w:r w:rsidRPr="00477A0D">
              <w:t>Mem(Index) – provenance is defined in the Reference Number (PAW-PERS, SUPAUL-PERS, SUPAUL-FIN, X, MW)</w:t>
            </w:r>
            <w:r w:rsidR="00E54F3E">
              <w:t xml:space="preserve">. Reference Numbers also define groupings </w:t>
            </w:r>
            <w:proofErr w:type="spellStart"/>
            <w:r w:rsidR="00E54F3E">
              <w:t>eg.</w:t>
            </w:r>
            <w:proofErr w:type="spellEnd"/>
            <w:r w:rsidR="00E54F3E">
              <w:t xml:space="preserve"> PAW-PERS-0027-11 – though these are rough undefined groups reflecting quick choices made when entering items into the collection. Relationships are sometimes identified in the Notes field.</w:t>
            </w:r>
          </w:p>
          <w:p w14:paraId="16FF5492" w14:textId="4F7B1A8D" w:rsidR="00477A0D" w:rsidRPr="00477A0D" w:rsidRDefault="00477A0D" w:rsidP="00047DD8">
            <w:r>
              <w:t xml:space="preserve">Mem(Items) </w:t>
            </w:r>
            <w:r w:rsidR="00E54F3E">
              <w:t>–</w:t>
            </w:r>
            <w:r>
              <w:t xml:space="preserve"> </w:t>
            </w:r>
            <w:r w:rsidR="00E54F3E">
              <w:t xml:space="preserve">within specific Reference numbers there may be additional groupings </w:t>
            </w:r>
            <w:proofErr w:type="spellStart"/>
            <w:r w:rsidR="00E54F3E">
              <w:t>eg.</w:t>
            </w:r>
            <w:proofErr w:type="spellEnd"/>
            <w:r w:rsidR="00E54F3E">
              <w:t xml:space="preserve"> </w:t>
            </w:r>
            <w:r w:rsidR="00E54F3E" w:rsidRPr="00E54F3E">
              <w:t>PAW-PERS-0003-01#</w:t>
            </w:r>
            <w:r w:rsidR="00E54F3E">
              <w:t xml:space="preserve">1 - </w:t>
            </w:r>
            <w:r w:rsidR="00E54F3E" w:rsidRPr="00E54F3E">
              <w:t>PAW-PERS-0003-01#5</w:t>
            </w:r>
            <w:r w:rsidR="00E54F3E">
              <w:t xml:space="preserve"> </w:t>
            </w:r>
          </w:p>
        </w:tc>
        <w:tc>
          <w:tcPr>
            <w:tcW w:w="1791" w:type="dxa"/>
          </w:tcPr>
          <w:p w14:paraId="3268CE8A" w14:textId="5400BD73" w:rsidR="00477A0D" w:rsidRPr="00E54F3E" w:rsidRDefault="00E54F3E" w:rsidP="0069644E">
            <w:r w:rsidRPr="00E54F3E">
              <w:t>Mem(All)</w:t>
            </w:r>
            <w:r w:rsidR="0004733C">
              <w:t xml:space="preserve">           - </w:t>
            </w:r>
            <w:r w:rsidRPr="00E54F3E">
              <w:t xml:space="preserve">Document all the Provenance and Relationship </w:t>
            </w:r>
            <w:r>
              <w:t>info</w:t>
            </w:r>
            <w:r w:rsidRPr="00E54F3E">
              <w:t xml:space="preserve"> </w:t>
            </w:r>
            <w:r>
              <w:t>embedded within the Index and the File Titles.</w:t>
            </w:r>
            <w:r w:rsidR="0004733C">
              <w:t xml:space="preserve">          - Observe how th</w:t>
            </w:r>
            <w:r w:rsidR="000544DA">
              <w:t>e Provenance and Relationship info</w:t>
            </w:r>
            <w:r w:rsidR="0004733C">
              <w:t xml:space="preserve"> is used </w:t>
            </w:r>
            <w:r w:rsidR="009D752E">
              <w:t xml:space="preserve">in order </w:t>
            </w:r>
            <w:r w:rsidR="0004733C">
              <w:t>to create guidelines for producing such documentation.</w:t>
            </w:r>
          </w:p>
        </w:tc>
      </w:tr>
      <w:tr w:rsidR="00477A0D" w:rsidRPr="00BB1A41" w14:paraId="5C44DF93" w14:textId="79C84192" w:rsidTr="00962D80">
        <w:trPr>
          <w:cantSplit/>
        </w:trPr>
        <w:tc>
          <w:tcPr>
            <w:tcW w:w="2732" w:type="dxa"/>
          </w:tcPr>
          <w:p w14:paraId="3D5A7136" w14:textId="77777777" w:rsidR="00477A0D" w:rsidRDefault="00477A0D" w:rsidP="00047DD8">
            <w:r w:rsidRPr="0004729F">
              <w:lastRenderedPageBreak/>
              <w:t>•  Narrative and discursive metadata</w:t>
            </w:r>
            <w:r>
              <w:t xml:space="preserve">: </w:t>
            </w:r>
            <w:r w:rsidRPr="0004729F">
              <w:t>Generative AI can</w:t>
            </w:r>
            <w:r>
              <w:t xml:space="preserve"> </w:t>
            </w:r>
            <w:r w:rsidRPr="0004729F">
              <w:t>work eff</w:t>
            </w:r>
            <w:r>
              <w:t>e</w:t>
            </w:r>
            <w:r w:rsidRPr="0004729F">
              <w:t>ctively with unstructured text. Curatorial notes,</w:t>
            </w:r>
            <w:r>
              <w:t xml:space="preserve"> </w:t>
            </w:r>
            <w:r w:rsidRPr="0004729F">
              <w:t>interpretive essays, collection-level</w:t>
            </w:r>
            <w:r>
              <w:t xml:space="preserve"> </w:t>
            </w:r>
            <w:r w:rsidRPr="0004729F">
              <w:t>descriptions, and contextual</w:t>
            </w:r>
            <w:r>
              <w:t xml:space="preserve"> </w:t>
            </w:r>
            <w:r w:rsidRPr="0004729F">
              <w:t>statements are</w:t>
            </w:r>
            <w:r>
              <w:t xml:space="preserve"> </w:t>
            </w:r>
            <w:r w:rsidRPr="0004729F">
              <w:t>valuable input.</w:t>
            </w:r>
            <w:r>
              <w:t xml:space="preserve"> </w:t>
            </w:r>
            <w:r w:rsidRPr="0004729F">
              <w:t>These narratives:</w:t>
            </w:r>
            <w:r w:rsidRPr="0004729F">
              <w:cr/>
              <w:t xml:space="preserve">o  </w:t>
            </w:r>
            <w:proofErr w:type="gramStart"/>
            <w:r w:rsidRPr="0004729F">
              <w:t>enrich</w:t>
            </w:r>
            <w:proofErr w:type="gramEnd"/>
            <w:r w:rsidRPr="0004729F">
              <w:t xml:space="preserve"> AI-generated summaries;</w:t>
            </w:r>
          </w:p>
          <w:p w14:paraId="392B218D" w14:textId="7F3DDD2C" w:rsidR="00477A0D" w:rsidRPr="0004729F" w:rsidRDefault="00477A0D" w:rsidP="00953BE3">
            <w:r w:rsidRPr="0004729F">
              <w:t>o</w:t>
            </w:r>
            <w:r>
              <w:t xml:space="preserve"> help AI reflect historical and cultural nuance</w:t>
            </w:r>
            <w:r w:rsidRPr="0004729F">
              <w:t xml:space="preserve"> </w:t>
            </w:r>
            <w:r w:rsidRPr="0004729F">
              <w:cr/>
              <w:t>o  surface issues of power, silences, and harm.</w:t>
            </w:r>
          </w:p>
        </w:tc>
        <w:tc>
          <w:tcPr>
            <w:tcW w:w="4493" w:type="dxa"/>
          </w:tcPr>
          <w:p w14:paraId="46B30147" w14:textId="07789013" w:rsidR="00477A0D" w:rsidRPr="0004733C" w:rsidRDefault="0004733C" w:rsidP="00047DD8">
            <w:r w:rsidRPr="0004733C">
              <w:t>MEM (index) – There is a Guide in a worksheet in the Mementos Index</w:t>
            </w:r>
          </w:p>
        </w:tc>
        <w:tc>
          <w:tcPr>
            <w:tcW w:w="1791" w:type="dxa"/>
          </w:tcPr>
          <w:p w14:paraId="12887C25" w14:textId="4B5BBD10" w:rsidR="00477A0D" w:rsidRPr="0004733C" w:rsidRDefault="0004733C" w:rsidP="00047DD8">
            <w:r w:rsidRPr="0004733C">
              <w:t xml:space="preserve">Mem(Index)     </w:t>
            </w:r>
            <w:r w:rsidR="000053D1">
              <w:t xml:space="preserve">   </w:t>
            </w:r>
            <w:r w:rsidRPr="0004733C">
              <w:t xml:space="preserve"> - Identify any extra narrative info that is available or </w:t>
            </w:r>
            <w:r>
              <w:t>i</w:t>
            </w:r>
            <w:r w:rsidRPr="0004733C">
              <w:t>s</w:t>
            </w:r>
            <w:r>
              <w:t xml:space="preserve"> </w:t>
            </w:r>
            <w:r w:rsidRPr="0004733C">
              <w:t>needed</w:t>
            </w:r>
            <w:r>
              <w:t xml:space="preserve">               - Produce any extra narrative info that is required</w:t>
            </w:r>
            <w:r w:rsidR="000053D1">
              <w:t>.</w:t>
            </w:r>
          </w:p>
        </w:tc>
      </w:tr>
      <w:tr w:rsidR="00477A0D" w:rsidRPr="00BB1A41" w14:paraId="402294CE" w14:textId="190F65E5" w:rsidTr="00962D80">
        <w:trPr>
          <w:cantSplit/>
        </w:trPr>
        <w:tc>
          <w:tcPr>
            <w:tcW w:w="2732" w:type="dxa"/>
          </w:tcPr>
          <w:p w14:paraId="1386BE26" w14:textId="18494EAD" w:rsidR="00477A0D" w:rsidRPr="0004729F" w:rsidRDefault="00477A0D" w:rsidP="00953BE3">
            <w:r w:rsidRPr="0004729F">
              <w:t>•  Access conditions and sensitivity</w:t>
            </w:r>
            <w:r>
              <w:t xml:space="preserve">: </w:t>
            </w:r>
            <w:r w:rsidRPr="0004729F">
              <w:t>Record in structured</w:t>
            </w:r>
            <w:r>
              <w:t xml:space="preserve"> </w:t>
            </w:r>
            <w:r w:rsidRPr="0004729F">
              <w:t>form which items or series are open, restricted, or closed,</w:t>
            </w:r>
            <w:r w:rsidRPr="0004729F">
              <w:cr/>
              <w:t>and why. AI systems must respect these access rules.</w:t>
            </w:r>
          </w:p>
        </w:tc>
        <w:tc>
          <w:tcPr>
            <w:tcW w:w="4493" w:type="dxa"/>
          </w:tcPr>
          <w:p w14:paraId="3339814F" w14:textId="4E95243E" w:rsidR="00477A0D" w:rsidRPr="00BB1A41" w:rsidRDefault="000053D1" w:rsidP="00395064">
            <w:r w:rsidRPr="000053D1">
              <w:t>Mem(All) – There are no access restrictions</w:t>
            </w:r>
            <w:r>
              <w:t>.</w:t>
            </w:r>
          </w:p>
        </w:tc>
        <w:tc>
          <w:tcPr>
            <w:tcW w:w="1791" w:type="dxa"/>
          </w:tcPr>
          <w:p w14:paraId="7EC4BC7B" w14:textId="4C5CA84F" w:rsidR="00477A0D" w:rsidRPr="000053D1" w:rsidRDefault="000053D1" w:rsidP="00047DD8">
            <w:r>
              <w:t>None</w:t>
            </w:r>
          </w:p>
        </w:tc>
      </w:tr>
    </w:tbl>
    <w:p w14:paraId="14607A3B" w14:textId="77777777" w:rsidR="00047DD8" w:rsidRDefault="00047DD8" w:rsidP="00333721"/>
    <w:p w14:paraId="4AA40717" w14:textId="54934DAC" w:rsidR="0004729F" w:rsidRPr="00512428" w:rsidRDefault="0004729F" w:rsidP="00333721">
      <w:pPr>
        <w:rPr>
          <w:b/>
          <w:bCs/>
        </w:rPr>
      </w:pPr>
      <w:r w:rsidRPr="00512428">
        <w:rPr>
          <w:b/>
          <w:bCs/>
        </w:rPr>
        <w:t>Pillar 3 – Data types, formats, and ﬁle structures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28"/>
        <w:gridCol w:w="3754"/>
        <w:gridCol w:w="2214"/>
      </w:tblGrid>
      <w:tr w:rsidR="000053D1" w:rsidRPr="00512428" w14:paraId="2252C0B4" w14:textId="284D75F4" w:rsidTr="00962D80">
        <w:tc>
          <w:tcPr>
            <w:tcW w:w="3035" w:type="dxa"/>
          </w:tcPr>
          <w:p w14:paraId="3FBD0A20" w14:textId="77777777" w:rsidR="000053D1" w:rsidRPr="00512428" w:rsidRDefault="000053D1" w:rsidP="00953BE3">
            <w:pPr>
              <w:rPr>
                <w:b/>
                <w:bCs/>
              </w:rPr>
            </w:pPr>
            <w:r w:rsidRPr="00512428">
              <w:rPr>
                <w:b/>
                <w:bCs/>
              </w:rPr>
              <w:t>Preparedness criteria</w:t>
            </w:r>
          </w:p>
        </w:tc>
        <w:tc>
          <w:tcPr>
            <w:tcW w:w="3764" w:type="dxa"/>
          </w:tcPr>
          <w:p w14:paraId="523A516E" w14:textId="268F0DFF" w:rsidR="000053D1" w:rsidRPr="00512428" w:rsidRDefault="007C4291" w:rsidP="00953BE3">
            <w:pPr>
              <w:rPr>
                <w:b/>
                <w:bCs/>
              </w:rPr>
            </w:pPr>
            <w:r>
              <w:rPr>
                <w:b/>
                <w:bCs/>
              </w:rPr>
              <w:t>Memento Collection Preparedness</w:t>
            </w:r>
          </w:p>
        </w:tc>
        <w:tc>
          <w:tcPr>
            <w:tcW w:w="2217" w:type="dxa"/>
          </w:tcPr>
          <w:p w14:paraId="3EB2D334" w14:textId="1E1CE742" w:rsidR="000053D1" w:rsidRPr="00512428" w:rsidRDefault="000053D1" w:rsidP="00953BE3">
            <w:pPr>
              <w:rPr>
                <w:b/>
                <w:bCs/>
              </w:rPr>
            </w:pPr>
            <w:r>
              <w:rPr>
                <w:b/>
                <w:bCs/>
              </w:rPr>
              <w:t>Action Required</w:t>
            </w:r>
          </w:p>
        </w:tc>
      </w:tr>
      <w:tr w:rsidR="000053D1" w:rsidRPr="00BB1A41" w14:paraId="742F877B" w14:textId="6D5D4941" w:rsidTr="00962D80">
        <w:tc>
          <w:tcPr>
            <w:tcW w:w="3035" w:type="dxa"/>
          </w:tcPr>
          <w:p w14:paraId="79A722D4" w14:textId="19E0365D" w:rsidR="000053D1" w:rsidRDefault="000053D1" w:rsidP="00953BE3">
            <w:r w:rsidRPr="0004729F">
              <w:t>•  Preserve provenance, do not overwrite it</w:t>
            </w:r>
            <w:r>
              <w:t xml:space="preserve">: </w:t>
            </w:r>
            <w:r w:rsidRPr="0004729F">
              <w:t>Original ﬁle names,</w:t>
            </w:r>
            <w:r>
              <w:t xml:space="preserve"> </w:t>
            </w:r>
            <w:r w:rsidRPr="0004729F">
              <w:t>formats, dates, and folder structures are part of the archival</w:t>
            </w:r>
            <w:r>
              <w:t xml:space="preserve"> </w:t>
            </w:r>
            <w:r w:rsidRPr="0004729F">
              <w:t>record. It is important not to “clean” or</w:t>
            </w:r>
            <w:r>
              <w:t xml:space="preserve"> </w:t>
            </w:r>
            <w:r w:rsidRPr="0004729F">
              <w:t>normalise these in place. Instead:</w:t>
            </w:r>
            <w:r>
              <w:t xml:space="preserve"> </w:t>
            </w:r>
          </w:p>
          <w:p w14:paraId="72D49534" w14:textId="77777777" w:rsidR="000053D1" w:rsidRDefault="000053D1" w:rsidP="00953BE3">
            <w:r w:rsidRPr="0004729F">
              <w:t xml:space="preserve">o  </w:t>
            </w:r>
            <w:proofErr w:type="gramStart"/>
            <w:r w:rsidRPr="0004729F">
              <w:t>preserve</w:t>
            </w:r>
            <w:proofErr w:type="gramEnd"/>
            <w:r w:rsidRPr="0004729F">
              <w:t xml:space="preserve"> original ﬁles and structures;</w:t>
            </w:r>
          </w:p>
          <w:p w14:paraId="5BB787C4" w14:textId="47D6CD4D" w:rsidR="000053D1" w:rsidRPr="00BB1A41" w:rsidRDefault="000053D1" w:rsidP="00953BE3">
            <w:r w:rsidRPr="0004729F">
              <w:t>o</w:t>
            </w:r>
            <w:r>
              <w:t xml:space="preserve"> </w:t>
            </w:r>
            <w:proofErr w:type="gramStart"/>
            <w:r>
              <w:t>create</w:t>
            </w:r>
            <w:proofErr w:type="gramEnd"/>
            <w:r>
              <w:t xml:space="preserve"> well-structured derivative copies for AI use.</w:t>
            </w:r>
          </w:p>
        </w:tc>
        <w:tc>
          <w:tcPr>
            <w:tcW w:w="3764" w:type="dxa"/>
          </w:tcPr>
          <w:p w14:paraId="30CE44BB" w14:textId="5B8F172B" w:rsidR="000053D1" w:rsidRPr="000053D1" w:rsidRDefault="000053D1" w:rsidP="00395064">
            <w:r w:rsidRPr="000053D1">
              <w:t xml:space="preserve">Mem(All) – Before taking each action an assessment will be made as to whether the change is wanted in the original </w:t>
            </w:r>
            <w:r w:rsidR="003836EA">
              <w:t>index</w:t>
            </w:r>
            <w:r w:rsidRPr="000053D1">
              <w:t xml:space="preserve"> or not. If it is not, a copy of the Index or the Item(s) concerned will be made. </w:t>
            </w:r>
          </w:p>
        </w:tc>
        <w:tc>
          <w:tcPr>
            <w:tcW w:w="2217" w:type="dxa"/>
          </w:tcPr>
          <w:p w14:paraId="2ED03AE0" w14:textId="5AE792AC" w:rsidR="000053D1" w:rsidRPr="000053D1" w:rsidRDefault="00AE5FEB" w:rsidP="00395064">
            <w:r>
              <w:t xml:space="preserve">Mem(All) </w:t>
            </w:r>
            <w:r w:rsidR="000053D1" w:rsidRPr="000053D1">
              <w:t>Carry out ‘wanted or not</w:t>
            </w:r>
            <w:r w:rsidR="003836EA">
              <w:t xml:space="preserve"> in the original index</w:t>
            </w:r>
            <w:r w:rsidR="000053D1" w:rsidRPr="000053D1">
              <w:t>’ check before each action</w:t>
            </w:r>
          </w:p>
        </w:tc>
      </w:tr>
      <w:tr w:rsidR="000053D1" w:rsidRPr="00BB1A41" w14:paraId="2DF8B28C" w14:textId="056F6B63" w:rsidTr="00962D80">
        <w:tc>
          <w:tcPr>
            <w:tcW w:w="3035" w:type="dxa"/>
          </w:tcPr>
          <w:p w14:paraId="7B8181F7" w14:textId="77777777" w:rsidR="000053D1" w:rsidRDefault="000053D1" w:rsidP="00953BE3">
            <w:r w:rsidRPr="0004729F">
              <w:t>•  Aim for consistent formats in derivatives</w:t>
            </w:r>
            <w:r>
              <w:t xml:space="preserve">: </w:t>
            </w:r>
            <w:r w:rsidRPr="0004729F">
              <w:t>Standardise, where</w:t>
            </w:r>
            <w:r>
              <w:t xml:space="preserve"> </w:t>
            </w:r>
            <w:r w:rsidRPr="0004729F">
              <w:t>feasible, on a small set of AI-friendly formats:</w:t>
            </w:r>
          </w:p>
          <w:p w14:paraId="6DDD33C2" w14:textId="299AE7EE" w:rsidR="000053D1" w:rsidRDefault="000053D1" w:rsidP="00953BE3">
            <w:r w:rsidRPr="0004729F">
              <w:t>o</w:t>
            </w:r>
            <w:r>
              <w:t xml:space="preserve"> text: UTF-8 plain text, XML, or similar</w:t>
            </w:r>
          </w:p>
          <w:p w14:paraId="039D93B3" w14:textId="0181DBE3" w:rsidR="000053D1" w:rsidRPr="00BB1A41" w:rsidRDefault="000053D1" w:rsidP="00953BE3">
            <w:r w:rsidRPr="0004729F">
              <w:t>o  images: TIFF or JPEG;</w:t>
            </w:r>
            <w:r w:rsidRPr="0004729F">
              <w:cr/>
              <w:t>o  audiovisual: consistent codecs</w:t>
            </w:r>
            <w:r>
              <w:t xml:space="preserve"> </w:t>
            </w:r>
            <w:r w:rsidRPr="0004729F">
              <w:t>and containers.</w:t>
            </w:r>
          </w:p>
        </w:tc>
        <w:tc>
          <w:tcPr>
            <w:tcW w:w="3764" w:type="dxa"/>
          </w:tcPr>
          <w:p w14:paraId="2F3E349A" w14:textId="77777777" w:rsidR="000053D1" w:rsidRPr="00BC510B" w:rsidRDefault="000053D1" w:rsidP="00395064">
            <w:r w:rsidRPr="00BC510B">
              <w:t>Mem(</w:t>
            </w:r>
            <w:r w:rsidR="00BC510B" w:rsidRPr="00BC510B">
              <w:t>Index) – this is an Excel spreadsheet</w:t>
            </w:r>
          </w:p>
          <w:p w14:paraId="4F37E27D" w14:textId="6A76B81B" w:rsidR="00BC510B" w:rsidRPr="00BC510B" w:rsidRDefault="00BC510B" w:rsidP="00395064">
            <w:r w:rsidRPr="00BC510B">
              <w:t xml:space="preserve">Mem(Items) – these are mainly </w:t>
            </w:r>
            <w:r w:rsidR="00D17D55">
              <w:t xml:space="preserve">.pdf, </w:t>
            </w:r>
            <w:r w:rsidRPr="00BC510B">
              <w:t>.doc or .jpg documents.</w:t>
            </w:r>
          </w:p>
        </w:tc>
        <w:tc>
          <w:tcPr>
            <w:tcW w:w="2217" w:type="dxa"/>
          </w:tcPr>
          <w:p w14:paraId="1E77576F" w14:textId="2538CD67" w:rsidR="000053D1" w:rsidRPr="00BC510B" w:rsidRDefault="00BC510B" w:rsidP="00395064">
            <w:r w:rsidRPr="00BC510B">
              <w:t xml:space="preserve">Mem(Items)       </w:t>
            </w:r>
            <w:r>
              <w:t xml:space="preserve"> </w:t>
            </w:r>
            <w:r w:rsidRPr="00BC510B">
              <w:t xml:space="preserve"> - check what formats exist in the collection files                      </w:t>
            </w:r>
            <w:r>
              <w:t xml:space="preserve"> </w:t>
            </w:r>
            <w:r w:rsidRPr="00BC510B">
              <w:t xml:space="preserve"> - Define</w:t>
            </w:r>
            <w:r w:rsidR="00EB581E">
              <w:t xml:space="preserve"> AI-friendly</w:t>
            </w:r>
            <w:r w:rsidRPr="00BC510B">
              <w:t xml:space="preserve"> standard formats               </w:t>
            </w:r>
            <w:r>
              <w:t xml:space="preserve"> </w:t>
            </w:r>
            <w:r w:rsidRPr="00BC510B">
              <w:t xml:space="preserve"> - make any changes to existing formats to conform to new standards</w:t>
            </w:r>
          </w:p>
        </w:tc>
      </w:tr>
      <w:tr w:rsidR="000053D1" w:rsidRPr="00BB1A41" w14:paraId="5C5CB323" w14:textId="63620614" w:rsidTr="00962D80">
        <w:tc>
          <w:tcPr>
            <w:tcW w:w="3035" w:type="dxa"/>
          </w:tcPr>
          <w:p w14:paraId="500CA22A" w14:textId="77777777" w:rsidR="000053D1" w:rsidRDefault="000053D1" w:rsidP="00953BE3">
            <w:r w:rsidRPr="0004729F">
              <w:lastRenderedPageBreak/>
              <w:t>•  Use clear and predictable ﬁle and folder naming in derivatives</w:t>
            </w:r>
            <w:r w:rsidRPr="0004729F">
              <w:cr/>
              <w:t>File paths should:</w:t>
            </w:r>
            <w:r w:rsidRPr="0004729F">
              <w:cr/>
              <w:t xml:space="preserve">o  </w:t>
            </w:r>
            <w:proofErr w:type="gramStart"/>
            <w:r w:rsidRPr="0004729F">
              <w:t>indicate</w:t>
            </w:r>
            <w:proofErr w:type="gramEnd"/>
            <w:r w:rsidRPr="0004729F">
              <w:t xml:space="preserve"> series or collection membership;</w:t>
            </w:r>
          </w:p>
          <w:p w14:paraId="07D070C7" w14:textId="3306FB43" w:rsidR="000053D1" w:rsidRPr="00BB1A41" w:rsidRDefault="000053D1" w:rsidP="00953BE3">
            <w:r w:rsidRPr="0004729F">
              <w:t>o  link reliably back to the original record or reference code;</w:t>
            </w:r>
            <w:r w:rsidRPr="0004729F">
              <w:cr/>
              <w:t xml:space="preserve">o  support </w:t>
            </w:r>
            <w:r>
              <w:t xml:space="preserve">programmatic </w:t>
            </w:r>
            <w:r w:rsidRPr="0004729F">
              <w:t>retrieval (e.g. via APIs).</w:t>
            </w:r>
          </w:p>
        </w:tc>
        <w:tc>
          <w:tcPr>
            <w:tcW w:w="3764" w:type="dxa"/>
          </w:tcPr>
          <w:p w14:paraId="089BFF07" w14:textId="77777777" w:rsidR="000053D1" w:rsidRPr="00BC510B" w:rsidRDefault="00BC510B" w:rsidP="00395064">
            <w:r w:rsidRPr="00BC510B">
              <w:t xml:space="preserve">Mem(All)  - </w:t>
            </w:r>
            <w:bookmarkStart w:id="0" w:name="_Hlk223635763"/>
            <w:r w:rsidRPr="00BC510B">
              <w:t xml:space="preserve">Folder names distinguish between the different collection components and link back into the overall Collection folder structure. </w:t>
            </w:r>
            <w:bookmarkEnd w:id="0"/>
          </w:p>
          <w:p w14:paraId="6283262F" w14:textId="289E45BD" w:rsidR="00BC510B" w:rsidRPr="00BB1A41" w:rsidRDefault="00BC510B" w:rsidP="00395064">
            <w:r>
              <w:t xml:space="preserve">Mem(Items) – </w:t>
            </w:r>
            <w:bookmarkStart w:id="1" w:name="_Hlk223635775"/>
            <w:r>
              <w:t>All item File Titles contain the relevant reference number.</w:t>
            </w:r>
            <w:bookmarkEnd w:id="1"/>
          </w:p>
        </w:tc>
        <w:tc>
          <w:tcPr>
            <w:tcW w:w="2217" w:type="dxa"/>
          </w:tcPr>
          <w:p w14:paraId="6C8F9DE7" w14:textId="77777777" w:rsidR="00766B1C" w:rsidRDefault="00BC510B" w:rsidP="00395064">
            <w:r w:rsidRPr="00BC510B">
              <w:t xml:space="preserve">Mem(All)              </w:t>
            </w:r>
            <w:r w:rsidR="00DF751F">
              <w:t>- Document the folder structure</w:t>
            </w:r>
            <w:r w:rsidR="00766B1C">
              <w:t xml:space="preserve"> for the derivative file</w:t>
            </w:r>
            <w:r w:rsidR="00DF751F">
              <w:t xml:space="preserve">   </w:t>
            </w:r>
          </w:p>
          <w:p w14:paraId="4290156B" w14:textId="2E9A327C" w:rsidR="000053D1" w:rsidRPr="00BC510B" w:rsidRDefault="00BC510B" w:rsidP="00395064">
            <w:r w:rsidRPr="00BC510B">
              <w:t>- Find out what ‘supports programmatic retrieval’ means in practice</w:t>
            </w:r>
            <w:r>
              <w:t xml:space="preserve">            </w:t>
            </w:r>
            <w:r w:rsidR="00DF751F">
              <w:t>- Make any changes necessary to support programmatic retrieval</w:t>
            </w:r>
          </w:p>
        </w:tc>
      </w:tr>
    </w:tbl>
    <w:p w14:paraId="1E3BF95D" w14:textId="77777777" w:rsidR="007C4291" w:rsidRDefault="007C4291" w:rsidP="00E67492">
      <w:pPr>
        <w:rPr>
          <w:b/>
          <w:bCs/>
        </w:rPr>
      </w:pPr>
    </w:p>
    <w:p w14:paraId="4188E7D6" w14:textId="77777777" w:rsidR="007C4291" w:rsidRDefault="007C4291" w:rsidP="00E67492">
      <w:pPr>
        <w:rPr>
          <w:b/>
          <w:bCs/>
        </w:rPr>
      </w:pPr>
    </w:p>
    <w:p w14:paraId="57F48430" w14:textId="7A5C49D2" w:rsidR="00713035" w:rsidRPr="00512428" w:rsidRDefault="00E67492" w:rsidP="00E67492">
      <w:pPr>
        <w:rPr>
          <w:b/>
          <w:bCs/>
        </w:rPr>
      </w:pPr>
      <w:r w:rsidRPr="00512428">
        <w:rPr>
          <w:b/>
          <w:bCs/>
        </w:rPr>
        <w:t>Pillar 4 – Application-speciﬁc metrics and evaluation</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12"/>
        <w:gridCol w:w="2396"/>
        <w:gridCol w:w="1788"/>
      </w:tblGrid>
      <w:tr w:rsidR="00DF751F" w:rsidRPr="00512428" w14:paraId="7E913642" w14:textId="704C772B" w:rsidTr="00962D80">
        <w:trPr>
          <w:cantSplit/>
        </w:trPr>
        <w:tc>
          <w:tcPr>
            <w:tcW w:w="4825" w:type="dxa"/>
          </w:tcPr>
          <w:p w14:paraId="460B4369" w14:textId="77777777" w:rsidR="00DF751F" w:rsidRPr="00512428" w:rsidRDefault="00DF751F" w:rsidP="00DF751F">
            <w:pPr>
              <w:rPr>
                <w:b/>
                <w:bCs/>
              </w:rPr>
            </w:pPr>
            <w:r w:rsidRPr="00512428">
              <w:rPr>
                <w:b/>
                <w:bCs/>
              </w:rPr>
              <w:t>Preparedness criteria</w:t>
            </w:r>
          </w:p>
        </w:tc>
        <w:tc>
          <w:tcPr>
            <w:tcW w:w="2400" w:type="dxa"/>
          </w:tcPr>
          <w:p w14:paraId="3925EA10" w14:textId="26DF2007" w:rsidR="00DF751F" w:rsidRPr="00512428" w:rsidRDefault="007C4291" w:rsidP="00DF751F">
            <w:pPr>
              <w:rPr>
                <w:b/>
                <w:bCs/>
              </w:rPr>
            </w:pPr>
            <w:r>
              <w:rPr>
                <w:b/>
                <w:bCs/>
              </w:rPr>
              <w:t>Memento Collection Preparedness</w:t>
            </w:r>
          </w:p>
        </w:tc>
        <w:tc>
          <w:tcPr>
            <w:tcW w:w="1791" w:type="dxa"/>
          </w:tcPr>
          <w:p w14:paraId="4084A57B" w14:textId="146DFB17" w:rsidR="00DF751F" w:rsidRPr="00512428" w:rsidRDefault="00DF751F" w:rsidP="00DF751F">
            <w:pPr>
              <w:rPr>
                <w:b/>
                <w:bCs/>
              </w:rPr>
            </w:pPr>
            <w:r>
              <w:rPr>
                <w:b/>
                <w:bCs/>
              </w:rPr>
              <w:t>Action Required</w:t>
            </w:r>
          </w:p>
        </w:tc>
      </w:tr>
      <w:tr w:rsidR="00DF751F" w:rsidRPr="00BB1A41" w14:paraId="360CB8D1" w14:textId="3BCD3913" w:rsidTr="00962D80">
        <w:trPr>
          <w:cantSplit/>
        </w:trPr>
        <w:tc>
          <w:tcPr>
            <w:tcW w:w="4825" w:type="dxa"/>
          </w:tcPr>
          <w:p w14:paraId="6D88C9A2" w14:textId="6F59BB98" w:rsidR="00DF751F" w:rsidRDefault="00DF751F" w:rsidP="00DF751F">
            <w:r w:rsidRPr="00E67492">
              <w:t>Every AI project needs a way to decide whether it is working. Instead of generic metrics, deﬁne application-speciﬁc metrics that match your goals and users.</w:t>
            </w:r>
            <w:r w:rsidRPr="00E67492">
              <w:cr/>
            </w:r>
            <w:r w:rsidRPr="00E67492">
              <w:cr/>
              <w:t>Examples:</w:t>
            </w:r>
            <w:r w:rsidRPr="00E67492">
              <w:cr/>
              <w:t>•  For AI-drafted descriptions:</w:t>
            </w:r>
            <w:r w:rsidRPr="00E67492">
              <w:cr/>
              <w:t>o  proportion of drafts accepted with minor edits;</w:t>
            </w:r>
            <w:r w:rsidRPr="00E67492">
              <w:cr/>
              <w:t>o  staff t</w:t>
            </w:r>
            <w:r>
              <w:t>i</w:t>
            </w:r>
            <w:r w:rsidRPr="00E67492">
              <w:t>me saved per record compared to manual description;</w:t>
            </w:r>
            <w:r w:rsidRPr="00E67492">
              <w:cr/>
              <w:t>o  archivist ratings of accuracy and appropriateness.</w:t>
            </w:r>
            <w:r w:rsidRPr="00E67492">
              <w:cr/>
              <w:t>•  For sensitivity-ﬂagging tools:</w:t>
            </w:r>
            <w:r w:rsidRPr="00E67492">
              <w:cr/>
              <w:t>o  how many true positives (correctly ﬂagged sensitive items);</w:t>
            </w:r>
            <w:r w:rsidRPr="00E67492">
              <w:cr/>
              <w:t>o  how many false positives (unnecessary ﬂags);</w:t>
            </w:r>
          </w:p>
          <w:p w14:paraId="382384C4" w14:textId="74B3FA4F" w:rsidR="00DF751F" w:rsidRPr="00BB1A41" w:rsidRDefault="00DF751F" w:rsidP="00DF751F">
            <w:r w:rsidRPr="00E67492">
              <w:t>o  whether critical issues are systematically missed.</w:t>
            </w:r>
            <w:r w:rsidRPr="00E67492">
              <w:cr/>
              <w:t>•  For RAG-based access tools:</w:t>
            </w:r>
            <w:r w:rsidRPr="00E67492">
              <w:cr/>
              <w:t>o  precision and recall for test queries;</w:t>
            </w:r>
            <w:r w:rsidRPr="00E67492">
              <w:cr/>
              <w:t>o  user satisfaction and</w:t>
            </w:r>
            <w:r>
              <w:t xml:space="preserve">  </w:t>
            </w:r>
            <w:r w:rsidRPr="00E67492">
              <w:t>understanding;</w:t>
            </w:r>
            <w:r w:rsidRPr="00E67492">
              <w:cr/>
              <w:t>o  transparency of links back to records and ﬁnding aids.</w:t>
            </w:r>
          </w:p>
        </w:tc>
        <w:tc>
          <w:tcPr>
            <w:tcW w:w="2400" w:type="dxa"/>
          </w:tcPr>
          <w:p w14:paraId="466F473D" w14:textId="79B6A2A8" w:rsidR="00DF751F" w:rsidRPr="00DF751F" w:rsidRDefault="00DF751F" w:rsidP="00DF751F">
            <w:r>
              <w:t xml:space="preserve">MEM (All) - </w:t>
            </w:r>
            <w:bookmarkStart w:id="2" w:name="_Hlk223635818"/>
            <w:r>
              <w:t xml:space="preserve">the ability to find what you are looking for in the Index is always what a user wants of the collection Index. Another requirement is to find the last Reference Number used overall or in a particular series </w:t>
            </w:r>
            <w:r w:rsidR="00AA0E76">
              <w:t>in order to specify an appropriate Reference Number to an item you are adding to the collection.</w:t>
            </w:r>
            <w:bookmarkEnd w:id="2"/>
          </w:p>
        </w:tc>
        <w:tc>
          <w:tcPr>
            <w:tcW w:w="1791" w:type="dxa"/>
          </w:tcPr>
          <w:p w14:paraId="4B135C21" w14:textId="6E8B0D26" w:rsidR="00DF751F" w:rsidRPr="00D0501A" w:rsidRDefault="00DF751F" w:rsidP="00DF751F">
            <w:pPr>
              <w:rPr>
                <w:b/>
                <w:bCs/>
              </w:rPr>
            </w:pPr>
            <w:r w:rsidRPr="00DF751F">
              <w:t>Mem(All) – Prompt for ideas about success metrics as each action is taken in the course of the project</w:t>
            </w:r>
          </w:p>
        </w:tc>
      </w:tr>
    </w:tbl>
    <w:p w14:paraId="678AD827" w14:textId="77777777" w:rsidR="00724CC3" w:rsidRDefault="00724CC3" w:rsidP="00CA5215">
      <w:pPr>
        <w:spacing w:after="0"/>
      </w:pPr>
    </w:p>
    <w:p w14:paraId="2F4CA6BD" w14:textId="511AA87D" w:rsidR="00000045" w:rsidRDefault="00CA5215" w:rsidP="00E67492">
      <w:r>
        <w:t xml:space="preserve">The </w:t>
      </w:r>
      <w:proofErr w:type="spellStart"/>
      <w:r>
        <w:t>Colavizza</w:t>
      </w:r>
      <w:proofErr w:type="spellEnd"/>
      <w:r>
        <w:t>/</w:t>
      </w:r>
      <w:proofErr w:type="spellStart"/>
      <w:r>
        <w:t>Jaillant</w:t>
      </w:r>
      <w:proofErr w:type="spellEnd"/>
      <w:r>
        <w:t xml:space="preserve"> document goes on to identify three promising areas relating to AI-assisted workflows that archives can start exploring once the 4 pillars are in place</w:t>
      </w:r>
      <w:r w:rsidR="00A5429B">
        <w:t>:</w:t>
      </w:r>
      <w:r>
        <w:t xml:space="preserve"> </w:t>
      </w:r>
    </w:p>
    <w:p w14:paraId="66BA2026" w14:textId="77777777" w:rsidR="00A5429B" w:rsidRPr="00A5429B" w:rsidRDefault="00000045" w:rsidP="00A5429B">
      <w:pPr>
        <w:pStyle w:val="ListParagraph"/>
        <w:numPr>
          <w:ilvl w:val="0"/>
          <w:numId w:val="4"/>
        </w:numPr>
      </w:pPr>
      <w:r w:rsidRPr="00A5429B">
        <w:t>Draft descriptive metadata and subject enhancement</w:t>
      </w:r>
    </w:p>
    <w:p w14:paraId="797965DC" w14:textId="77777777" w:rsidR="00A5429B" w:rsidRPr="00A5429B" w:rsidRDefault="00CE5136" w:rsidP="00A5429B">
      <w:pPr>
        <w:pStyle w:val="ListParagraph"/>
        <w:numPr>
          <w:ilvl w:val="0"/>
          <w:numId w:val="4"/>
        </w:numPr>
      </w:pPr>
      <w:r w:rsidRPr="00A5429B">
        <w:t>Sensitivity review and harmful content detection</w:t>
      </w:r>
    </w:p>
    <w:p w14:paraId="2701A501" w14:textId="78914E65" w:rsidR="00951AF0" w:rsidRPr="00A5429B" w:rsidRDefault="00951AF0" w:rsidP="00A5429B">
      <w:pPr>
        <w:pStyle w:val="ListParagraph"/>
        <w:numPr>
          <w:ilvl w:val="0"/>
          <w:numId w:val="4"/>
        </w:numPr>
      </w:pPr>
      <w:r w:rsidRPr="00A5429B">
        <w:t>Access, discovery, and interpretive interfaces</w:t>
      </w:r>
    </w:p>
    <w:p w14:paraId="1B88FAB2" w14:textId="2BA3052B" w:rsidR="00BB0759" w:rsidRDefault="00A5429B" w:rsidP="00E67492">
      <w:r w:rsidRPr="00A5429B">
        <w:lastRenderedPageBreak/>
        <w:t>However, these will be ignored</w:t>
      </w:r>
      <w:r>
        <w:t xml:space="preserve"> in this first phase. Instead, it is planned to try to use CHATGPT guidance to build an AI RAG capability for the Mementos Index entries. After the first phase has been completed, the </w:t>
      </w:r>
      <w:proofErr w:type="spellStart"/>
      <w:r>
        <w:t>Colavizza</w:t>
      </w:r>
      <w:proofErr w:type="spellEnd"/>
      <w:r>
        <w:t>/</w:t>
      </w:r>
      <w:proofErr w:type="spellStart"/>
      <w:r>
        <w:t>Jaillant</w:t>
      </w:r>
      <w:proofErr w:type="spellEnd"/>
      <w:r>
        <w:t xml:space="preserve"> guidance on three promising areas to explore, will be revisited. </w:t>
      </w:r>
    </w:p>
    <w:p w14:paraId="66043B73" w14:textId="6430B473" w:rsidR="00AE5FEB" w:rsidRPr="00AE5FEB" w:rsidRDefault="00AE5FEB" w:rsidP="00E67492">
      <w:pPr>
        <w:rPr>
          <w:b/>
          <w:bCs/>
        </w:rPr>
      </w:pPr>
      <w:r w:rsidRPr="00AE5FEB">
        <w:rPr>
          <w:b/>
          <w:bCs/>
        </w:rPr>
        <w:t>Action List</w:t>
      </w:r>
    </w:p>
    <w:p w14:paraId="1C4C34DF" w14:textId="4D97FD1E" w:rsidR="00B66633" w:rsidRDefault="00AE5FEB">
      <w:r>
        <w:t>The actions Required identified in the previous sections are listed below together with the</w:t>
      </w:r>
      <w:r w:rsidR="00AB47B0">
        <w:t>ir outcomes</w:t>
      </w:r>
      <w:r w:rsidR="00B54943">
        <w:t xml:space="preserve"> </w:t>
      </w:r>
      <w:bookmarkStart w:id="3" w:name="_Hlk223636172"/>
      <w:r w:rsidR="00B54943">
        <w:t>(the Ref No notation ‘P1.1’ stands for ‘the first action in P1 – Phase 1).</w:t>
      </w:r>
      <w:bookmarkEnd w:id="3"/>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8"/>
        <w:gridCol w:w="6658"/>
      </w:tblGrid>
      <w:tr w:rsidR="00766B1C" w:rsidRPr="00581E61" w14:paraId="377BFA61" w14:textId="77777777" w:rsidTr="00962D80">
        <w:trPr>
          <w:cantSplit/>
          <w:tblHeader/>
        </w:trPr>
        <w:tc>
          <w:tcPr>
            <w:tcW w:w="1838" w:type="dxa"/>
          </w:tcPr>
          <w:p w14:paraId="77A25E29" w14:textId="02803C31" w:rsidR="00766B1C" w:rsidRPr="00766B1C" w:rsidRDefault="00766B1C" w:rsidP="00593775">
            <w:pPr>
              <w:rPr>
                <w:b/>
                <w:bCs/>
              </w:rPr>
            </w:pPr>
            <w:r w:rsidRPr="00766B1C">
              <w:rPr>
                <w:b/>
                <w:bCs/>
              </w:rPr>
              <w:t>Action Required</w:t>
            </w:r>
          </w:p>
        </w:tc>
        <w:tc>
          <w:tcPr>
            <w:tcW w:w="6658" w:type="dxa"/>
          </w:tcPr>
          <w:p w14:paraId="2B034507" w14:textId="3391CC04" w:rsidR="00766B1C" w:rsidRPr="00766B1C" w:rsidRDefault="00766B1C" w:rsidP="00593775">
            <w:pPr>
              <w:rPr>
                <w:b/>
                <w:bCs/>
              </w:rPr>
            </w:pPr>
            <w:r w:rsidRPr="00766B1C">
              <w:rPr>
                <w:b/>
                <w:bCs/>
              </w:rPr>
              <w:t>Outcomes</w:t>
            </w:r>
          </w:p>
        </w:tc>
      </w:tr>
      <w:tr w:rsidR="00AB47B0" w:rsidRPr="00581E61" w14:paraId="79FC5B16" w14:textId="52D79277" w:rsidTr="00962D80">
        <w:trPr>
          <w:cantSplit/>
        </w:trPr>
        <w:tc>
          <w:tcPr>
            <w:tcW w:w="1838" w:type="dxa"/>
          </w:tcPr>
          <w:p w14:paraId="53F70D31" w14:textId="700A293D" w:rsidR="00AB47B0" w:rsidRDefault="00AB47B0" w:rsidP="00593775">
            <w:bookmarkStart w:id="4" w:name="_Hlk223636005"/>
            <w:r>
              <w:t>P1.1 Mem(</w:t>
            </w:r>
            <w:r w:rsidR="00CE52F2">
              <w:t>Index</w:t>
            </w:r>
            <w:r>
              <w:t>) - Ensure completeness and normalisation</w:t>
            </w:r>
            <w:r w:rsidR="00B66633">
              <w:t>.</w:t>
            </w:r>
            <w:bookmarkEnd w:id="4"/>
            <w:r w:rsidR="00B66633">
              <w:br/>
            </w:r>
          </w:p>
          <w:p w14:paraId="484C4FD8" w14:textId="77777777" w:rsidR="00B66633" w:rsidRDefault="00B66633" w:rsidP="00593775">
            <w:pPr>
              <w:rPr>
                <w:b/>
                <w:bCs/>
              </w:rPr>
            </w:pPr>
            <w:r w:rsidRPr="00B66633">
              <w:rPr>
                <w:b/>
                <w:bCs/>
              </w:rPr>
              <w:t>Should these changes be made to the original Index? YES</w:t>
            </w:r>
          </w:p>
          <w:p w14:paraId="16C547ED" w14:textId="77777777" w:rsidR="00B66633" w:rsidRDefault="00B66633" w:rsidP="00593775">
            <w:pPr>
              <w:rPr>
                <w:b/>
                <w:bCs/>
              </w:rPr>
            </w:pPr>
          </w:p>
          <w:p w14:paraId="415877E5" w14:textId="7AEFEEC0" w:rsidR="00483BE6" w:rsidRPr="00B66633" w:rsidRDefault="00483BE6" w:rsidP="00593775">
            <w:pPr>
              <w:rPr>
                <w:b/>
                <w:bCs/>
              </w:rPr>
            </w:pPr>
            <w:r>
              <w:rPr>
                <w:b/>
                <w:bCs/>
              </w:rPr>
              <w:t xml:space="preserve">Took </w:t>
            </w:r>
            <w:proofErr w:type="spellStart"/>
            <w:r w:rsidR="000544DA">
              <w:rPr>
                <w:b/>
                <w:bCs/>
              </w:rPr>
              <w:t>a</w:t>
            </w:r>
            <w:r>
              <w:rPr>
                <w:b/>
                <w:bCs/>
              </w:rPr>
              <w:t>pprox</w:t>
            </w:r>
            <w:proofErr w:type="spellEnd"/>
            <w:r>
              <w:rPr>
                <w:b/>
                <w:bCs/>
              </w:rPr>
              <w:t xml:space="preserve"> 3 hours</w:t>
            </w:r>
          </w:p>
        </w:tc>
        <w:tc>
          <w:tcPr>
            <w:tcW w:w="6658" w:type="dxa"/>
          </w:tcPr>
          <w:p w14:paraId="331ABC71" w14:textId="6E002C04" w:rsidR="00AB47B0" w:rsidRDefault="000F322F" w:rsidP="00593775">
            <w:r>
              <w:t xml:space="preserve">02Mar26: Checked each of the 14 columns for blanks. </w:t>
            </w:r>
            <w:r w:rsidR="009A6583" w:rsidRPr="009A6583">
              <w:rPr>
                <w:u w:val="single"/>
              </w:rPr>
              <w:t>Ref No &amp; Description</w:t>
            </w:r>
            <w:r w:rsidR="009A6583">
              <w:t xml:space="preserve"> – both OK. </w:t>
            </w:r>
            <w:r w:rsidRPr="009A6583">
              <w:rPr>
                <w:u w:val="single"/>
              </w:rPr>
              <w:t>Facet 1</w:t>
            </w:r>
            <w:r>
              <w:t xml:space="preserve"> – 48 blanks</w:t>
            </w:r>
            <w:r w:rsidR="003414CA">
              <w:t xml:space="preserve">. Sometimes hard to know what to put. Inevitable a private index will have errors and gaps because it’s an overhead – not paid to keep it in good shape. </w:t>
            </w:r>
            <w:r w:rsidR="003414CA" w:rsidRPr="009A6583">
              <w:rPr>
                <w:u w:val="single"/>
              </w:rPr>
              <w:t>Facet 2</w:t>
            </w:r>
            <w:r w:rsidR="003414CA">
              <w:t xml:space="preserve"> – checked it to make sure that any Facet 1s with two Facets had an entry in Facet 2 – found about 5 instances. </w:t>
            </w:r>
            <w:r w:rsidR="003414CA" w:rsidRPr="009A6583">
              <w:rPr>
                <w:u w:val="single"/>
              </w:rPr>
              <w:t>Publication Date</w:t>
            </w:r>
            <w:r w:rsidR="003414CA">
              <w:t xml:space="preserve"> – checked format – all the same except for one from which I removed a spurious ‘on’. </w:t>
            </w:r>
            <w:r w:rsidR="003414CA" w:rsidRPr="009A6583">
              <w:rPr>
                <w:u w:val="single"/>
              </w:rPr>
              <w:t>Year</w:t>
            </w:r>
            <w:r w:rsidR="003414CA">
              <w:t xml:space="preserve"> (Earliest): all present – except for all in Maisie entries – I intend to fill these in when I go through </w:t>
            </w:r>
            <w:r w:rsidR="009A6583">
              <w:t>my mother’s</w:t>
            </w:r>
            <w:r w:rsidR="003414CA">
              <w:t xml:space="preserve"> objects and de</w:t>
            </w:r>
            <w:r w:rsidR="009A6583">
              <w:t>c</w:t>
            </w:r>
            <w:r w:rsidR="003414CA">
              <w:t>ide what to do with them.</w:t>
            </w:r>
            <w:r w:rsidR="009A6583">
              <w:t xml:space="preserve"> </w:t>
            </w:r>
            <w:r w:rsidR="009A6583" w:rsidRPr="009A6583">
              <w:rPr>
                <w:u w:val="single"/>
              </w:rPr>
              <w:t>Physical Location</w:t>
            </w:r>
            <w:r w:rsidR="009A6583">
              <w:t xml:space="preserve">: all ok except for one which I filled in ‘None-PD’. </w:t>
            </w:r>
            <w:r w:rsidR="009A6583" w:rsidRPr="009A6583">
              <w:rPr>
                <w:u w:val="single"/>
              </w:rPr>
              <w:t>No of Physical Items</w:t>
            </w:r>
            <w:r w:rsidR="009A6583">
              <w:t xml:space="preserve">: corrected </w:t>
            </w:r>
            <w:r w:rsidR="00781CB6">
              <w:t>8</w:t>
            </w:r>
            <w:r w:rsidR="009A6583">
              <w:t xml:space="preserve"> error</w:t>
            </w:r>
            <w:r w:rsidR="00601A51">
              <w:t>s</w:t>
            </w:r>
            <w:r w:rsidR="009A6583">
              <w:t xml:space="preserve"> (</w:t>
            </w:r>
            <w:r w:rsidR="00781CB6">
              <w:t xml:space="preserve"> 3 which should have been 0 - </w:t>
            </w:r>
            <w:r w:rsidR="009A6583">
              <w:t xml:space="preserve">perfume bottles sold on </w:t>
            </w:r>
            <w:proofErr w:type="spellStart"/>
            <w:r w:rsidR="009A6583">
              <w:t>ebay</w:t>
            </w:r>
            <w:proofErr w:type="spellEnd"/>
            <w:r w:rsidR="00601A51">
              <w:t xml:space="preserve"> and 2 i</w:t>
            </w:r>
            <w:r w:rsidR="00781CB6">
              <w:t>te</w:t>
            </w:r>
            <w:r w:rsidR="00601A51">
              <w:t xml:space="preserve">ms moved to other ref </w:t>
            </w:r>
            <w:proofErr w:type="spellStart"/>
            <w:r w:rsidR="00601A51">
              <w:t>nos</w:t>
            </w:r>
            <w:proofErr w:type="spellEnd"/>
            <w:r w:rsidR="00781CB6">
              <w:t>: - and 5 that should have had numbers in</w:t>
            </w:r>
            <w:r w:rsidR="009A6583">
              <w:t xml:space="preserve">) and filled in </w:t>
            </w:r>
            <w:r w:rsidR="00781CB6">
              <w:t>605</w:t>
            </w:r>
            <w:r w:rsidR="00601A51">
              <w:t xml:space="preserve"> blank entries which should have been 0.</w:t>
            </w:r>
            <w:r w:rsidR="00A53325">
              <w:t xml:space="preserve"> </w:t>
            </w:r>
            <w:r w:rsidR="00A53325" w:rsidRPr="00A53325">
              <w:rPr>
                <w:u w:val="single"/>
              </w:rPr>
              <w:t>Digitisation Method</w:t>
            </w:r>
            <w:r w:rsidR="00B66633">
              <w:rPr>
                <w:u w:val="single"/>
              </w:rPr>
              <w:t xml:space="preserve"> (</w:t>
            </w:r>
            <w:r w:rsidR="00A53325">
              <w:t>264 blanks</w:t>
            </w:r>
            <w:r w:rsidR="00B66633">
              <w:t xml:space="preserve">), </w:t>
            </w:r>
            <w:r w:rsidR="00B66633" w:rsidRPr="00483BE6">
              <w:rPr>
                <w:u w:val="single"/>
              </w:rPr>
              <w:t>Elec Format</w:t>
            </w:r>
            <w:r w:rsidR="00B66633">
              <w:t xml:space="preserve"> and </w:t>
            </w:r>
            <w:r w:rsidR="00B66633" w:rsidRPr="00483BE6">
              <w:rPr>
                <w:u w:val="single"/>
              </w:rPr>
              <w:t>No of Elec files:</w:t>
            </w:r>
            <w:r w:rsidR="00B66633">
              <w:t xml:space="preserve"> Approx 350 changes made across all of these – the majority being </w:t>
            </w:r>
            <w:r w:rsidR="00483BE6">
              <w:t xml:space="preserve">the </w:t>
            </w:r>
            <w:r w:rsidR="00B66633">
              <w:t xml:space="preserve">filling </w:t>
            </w:r>
            <w:r w:rsidR="00483BE6">
              <w:t xml:space="preserve">of </w:t>
            </w:r>
            <w:r w:rsidR="00B66633">
              <w:t>blanks.</w:t>
            </w:r>
            <w:r w:rsidR="005863EF">
              <w:t xml:space="preserve"> The entries for </w:t>
            </w:r>
            <w:r w:rsidR="005863EF" w:rsidRPr="005863EF">
              <w:rPr>
                <w:u w:val="single"/>
              </w:rPr>
              <w:t>Digitisation Method</w:t>
            </w:r>
            <w:r w:rsidR="005863EF">
              <w:t xml:space="preserve"> and </w:t>
            </w:r>
            <w:r w:rsidR="005863EF" w:rsidRPr="005863EF">
              <w:rPr>
                <w:u w:val="single"/>
              </w:rPr>
              <w:t>Electronic Format</w:t>
            </w:r>
            <w:r w:rsidR="005863EF">
              <w:t xml:space="preserve"> can have various types of standard entries and combinations of entries. The formatting of these was inconsistent so normalisation was performed.</w:t>
            </w:r>
          </w:p>
        </w:tc>
      </w:tr>
      <w:tr w:rsidR="00CE52F2" w:rsidRPr="00E54F3E" w14:paraId="564E29BD" w14:textId="77777777" w:rsidTr="00962D80">
        <w:trPr>
          <w:cantSplit/>
        </w:trPr>
        <w:tc>
          <w:tcPr>
            <w:tcW w:w="1838" w:type="dxa"/>
          </w:tcPr>
          <w:p w14:paraId="44DF1EF3" w14:textId="5702B6FB" w:rsidR="00CE52F2" w:rsidRDefault="00CE52F2" w:rsidP="00593775">
            <w:bookmarkStart w:id="5" w:name="_Hlk223636109"/>
            <w:r>
              <w:t>P1.2 Mem(Index) - Remove columns O to BX from the file used for this AI work.</w:t>
            </w:r>
          </w:p>
          <w:bookmarkEnd w:id="5"/>
          <w:p w14:paraId="082AAEC7" w14:textId="77777777" w:rsidR="00CE52F2" w:rsidRDefault="00CE52F2" w:rsidP="00593775"/>
          <w:p w14:paraId="6780D33B" w14:textId="18398906" w:rsidR="00CE52F2" w:rsidRDefault="00CE52F2" w:rsidP="00CE52F2">
            <w:pPr>
              <w:rPr>
                <w:b/>
                <w:bCs/>
              </w:rPr>
            </w:pPr>
            <w:r w:rsidRPr="00B66633">
              <w:rPr>
                <w:b/>
                <w:bCs/>
              </w:rPr>
              <w:t xml:space="preserve">Should these changes be made to the original Index? </w:t>
            </w:r>
            <w:r>
              <w:rPr>
                <w:b/>
                <w:bCs/>
              </w:rPr>
              <w:t>No</w:t>
            </w:r>
          </w:p>
          <w:p w14:paraId="54345BDE" w14:textId="77777777" w:rsidR="00CE52F2" w:rsidRDefault="00CE52F2" w:rsidP="00CE52F2">
            <w:pPr>
              <w:rPr>
                <w:b/>
                <w:bCs/>
              </w:rPr>
            </w:pPr>
          </w:p>
          <w:p w14:paraId="76E5C343" w14:textId="667698EE" w:rsidR="00CE52F2" w:rsidRDefault="00CE52F2" w:rsidP="00CE52F2">
            <w:r>
              <w:rPr>
                <w:b/>
                <w:bCs/>
              </w:rPr>
              <w:t xml:space="preserve">Took </w:t>
            </w:r>
            <w:proofErr w:type="spellStart"/>
            <w:r>
              <w:rPr>
                <w:b/>
                <w:bCs/>
              </w:rPr>
              <w:t>approx</w:t>
            </w:r>
            <w:proofErr w:type="spellEnd"/>
            <w:r>
              <w:rPr>
                <w:b/>
                <w:bCs/>
              </w:rPr>
              <w:t xml:space="preserve"> </w:t>
            </w:r>
            <w:r w:rsidR="0052719E">
              <w:rPr>
                <w:b/>
                <w:bCs/>
              </w:rPr>
              <w:t>10 mins</w:t>
            </w:r>
          </w:p>
          <w:p w14:paraId="0D23EF26" w14:textId="7EEC9CBA" w:rsidR="00CE52F2" w:rsidRDefault="00CE52F2" w:rsidP="00593775"/>
        </w:tc>
        <w:tc>
          <w:tcPr>
            <w:tcW w:w="6658" w:type="dxa"/>
          </w:tcPr>
          <w:p w14:paraId="369A3E20" w14:textId="0192B13D" w:rsidR="00CE52F2" w:rsidRDefault="00CE52F2" w:rsidP="00593775">
            <w:r>
              <w:t xml:space="preserve">05Mar26: I waited until I finished all the other prep work before converting the Index to csv, in case there were any changes I need to make to the original file. After the csv file was created I then removed columns O to BX from it. </w:t>
            </w:r>
          </w:p>
        </w:tc>
      </w:tr>
      <w:tr w:rsidR="00AB47B0" w:rsidRPr="00E54F3E" w14:paraId="3E122225" w14:textId="23BC1365" w:rsidTr="00962D80">
        <w:trPr>
          <w:cantSplit/>
        </w:trPr>
        <w:tc>
          <w:tcPr>
            <w:tcW w:w="1838" w:type="dxa"/>
          </w:tcPr>
          <w:p w14:paraId="0FD62C72" w14:textId="158EB8BA" w:rsidR="00807B6D" w:rsidRDefault="00AB47B0" w:rsidP="00593775">
            <w:bookmarkStart w:id="6" w:name="_Hlk223636191"/>
            <w:r>
              <w:lastRenderedPageBreak/>
              <w:t>P1.</w:t>
            </w:r>
            <w:r w:rsidR="00CE52F2">
              <w:t>3</w:t>
            </w:r>
            <w:r>
              <w:t xml:space="preserve"> </w:t>
            </w:r>
            <w:r w:rsidRPr="00E54F3E">
              <w:t>Mem(All)</w:t>
            </w:r>
            <w:r>
              <w:t xml:space="preserve"> - </w:t>
            </w:r>
            <w:r w:rsidRPr="00E54F3E">
              <w:t xml:space="preserve">Document all the Provenance and Relationship </w:t>
            </w:r>
            <w:r>
              <w:t>info</w:t>
            </w:r>
            <w:r w:rsidRPr="00E54F3E">
              <w:t xml:space="preserve"> </w:t>
            </w:r>
            <w:r>
              <w:t xml:space="preserve">embedded within the Index and the File Titles. </w:t>
            </w:r>
          </w:p>
          <w:bookmarkEnd w:id="6"/>
          <w:p w14:paraId="4063E6E0" w14:textId="77777777" w:rsidR="00807B6D" w:rsidRDefault="00807B6D" w:rsidP="00593775"/>
          <w:p w14:paraId="459C00FA" w14:textId="140D81FC" w:rsidR="00807B6D" w:rsidRDefault="00807B6D" w:rsidP="00807B6D">
            <w:pPr>
              <w:rPr>
                <w:b/>
                <w:bCs/>
              </w:rPr>
            </w:pPr>
            <w:r w:rsidRPr="00B66633">
              <w:rPr>
                <w:b/>
                <w:bCs/>
              </w:rPr>
              <w:t>Should these changes be made to the original Index? YES</w:t>
            </w:r>
          </w:p>
          <w:p w14:paraId="58B65C68" w14:textId="77777777" w:rsidR="000544DA" w:rsidRDefault="000544DA" w:rsidP="00807B6D">
            <w:pPr>
              <w:rPr>
                <w:b/>
                <w:bCs/>
              </w:rPr>
            </w:pPr>
          </w:p>
          <w:p w14:paraId="1CF5B2F1" w14:textId="006AAA4E" w:rsidR="000544DA" w:rsidRDefault="000544DA" w:rsidP="00807B6D">
            <w:pPr>
              <w:rPr>
                <w:b/>
                <w:bCs/>
              </w:rPr>
            </w:pPr>
            <w:r>
              <w:rPr>
                <w:b/>
                <w:bCs/>
              </w:rPr>
              <w:t>Took approx. 2.5 hrs</w:t>
            </w:r>
          </w:p>
          <w:p w14:paraId="01B5FF5C" w14:textId="0CDE3E01" w:rsidR="00AB47B0" w:rsidRPr="00E54F3E" w:rsidRDefault="00AB47B0" w:rsidP="00593775">
            <w:r>
              <w:t xml:space="preserve">        </w:t>
            </w:r>
          </w:p>
        </w:tc>
        <w:tc>
          <w:tcPr>
            <w:tcW w:w="6658" w:type="dxa"/>
          </w:tcPr>
          <w:p w14:paraId="39E024CB" w14:textId="77777777" w:rsidR="000544DA" w:rsidRDefault="005863EF" w:rsidP="00593775">
            <w:r>
              <w:t>There is a Guide to the collection in a worksheet in the Index spreadsheet file. This was expanded to include</w:t>
            </w:r>
            <w:r w:rsidR="000544DA">
              <w:t>:</w:t>
            </w:r>
          </w:p>
          <w:p w14:paraId="4E93C12A" w14:textId="55F35A96" w:rsidR="000544DA" w:rsidRDefault="000544DA" w:rsidP="000544DA">
            <w:pPr>
              <w:pStyle w:val="ListParagraph"/>
              <w:numPr>
                <w:ilvl w:val="0"/>
                <w:numId w:val="5"/>
              </w:numPr>
            </w:pPr>
            <w:r>
              <w:t>A section</w:t>
            </w:r>
            <w:r w:rsidR="005863EF">
              <w:t xml:space="preserve"> </w:t>
            </w:r>
            <w:r>
              <w:t>describing</w:t>
            </w:r>
            <w:r w:rsidR="005863EF">
              <w:t xml:space="preserve"> the 14 fields in the Index</w:t>
            </w:r>
            <w:r>
              <w:t xml:space="preserve">; </w:t>
            </w:r>
          </w:p>
          <w:p w14:paraId="1202083A" w14:textId="0A3166A9" w:rsidR="000544DA" w:rsidRDefault="000544DA" w:rsidP="000544DA">
            <w:pPr>
              <w:pStyle w:val="ListParagraph"/>
              <w:numPr>
                <w:ilvl w:val="0"/>
                <w:numId w:val="5"/>
              </w:numPr>
            </w:pPr>
            <w:r>
              <w:t>a section on ‘</w:t>
            </w:r>
            <w:r w:rsidRPr="000544DA">
              <w:t>How the Digital Filename is Structured</w:t>
            </w:r>
            <w:r>
              <w:t>’</w:t>
            </w:r>
          </w:p>
          <w:p w14:paraId="30277E9E" w14:textId="1798C9BD" w:rsidR="000544DA" w:rsidRDefault="000544DA" w:rsidP="000544DA">
            <w:pPr>
              <w:pStyle w:val="ListParagraph"/>
              <w:numPr>
                <w:ilvl w:val="0"/>
                <w:numId w:val="5"/>
              </w:numPr>
            </w:pPr>
            <w:r>
              <w:t>a section on ‘</w:t>
            </w:r>
            <w:r w:rsidRPr="000544DA">
              <w:t>How the Mementos Collection and Index came about</w:t>
            </w:r>
            <w:r>
              <w:t xml:space="preserve">’ </w:t>
            </w:r>
            <w:bookmarkStart w:id="7" w:name="_Hlk223636442"/>
            <w:r>
              <w:t>which includes references to posts in the pwofc.com website.</w:t>
            </w:r>
            <w:r w:rsidR="005863EF">
              <w:t xml:space="preserve"> </w:t>
            </w:r>
          </w:p>
          <w:bookmarkEnd w:id="7"/>
          <w:p w14:paraId="0140C317" w14:textId="243C1612" w:rsidR="00AB47B0" w:rsidRPr="00E54F3E" w:rsidRDefault="005863EF" w:rsidP="000544DA">
            <w:r>
              <w:t>Other small changes were made to correct errors or to bring the Guid</w:t>
            </w:r>
            <w:r w:rsidR="00601C7B">
              <w:t>e</w:t>
            </w:r>
            <w:r>
              <w:t xml:space="preserve"> up to date. </w:t>
            </w:r>
          </w:p>
        </w:tc>
      </w:tr>
      <w:tr w:rsidR="00AB47B0" w:rsidRPr="0004733C" w14:paraId="4CCF3DC6" w14:textId="77777777" w:rsidTr="00962D80">
        <w:trPr>
          <w:cantSplit/>
        </w:trPr>
        <w:tc>
          <w:tcPr>
            <w:tcW w:w="1838" w:type="dxa"/>
          </w:tcPr>
          <w:p w14:paraId="15891335" w14:textId="3EF3FD49" w:rsidR="00AB47B0" w:rsidRPr="0004733C" w:rsidRDefault="00AB47B0" w:rsidP="00593775">
            <w:bookmarkStart w:id="8" w:name="_Hlk223636293"/>
            <w:r>
              <w:t>P1.</w:t>
            </w:r>
            <w:r w:rsidR="003F2934">
              <w:t>4</w:t>
            </w:r>
            <w:r>
              <w:t xml:space="preserve"> </w:t>
            </w:r>
            <w:r w:rsidRPr="00E54F3E">
              <w:t>Mem(All)</w:t>
            </w:r>
            <w:r>
              <w:t xml:space="preserve"> - Observe how </w:t>
            </w:r>
            <w:r w:rsidR="000544DA">
              <w:t>the Provenance and Relationship info</w:t>
            </w:r>
            <w:r>
              <w:t xml:space="preserve"> is used </w:t>
            </w:r>
            <w:r w:rsidR="009D752E">
              <w:t xml:space="preserve">in order </w:t>
            </w:r>
            <w:r>
              <w:t>to create guidelines for producing such documentation.</w:t>
            </w:r>
            <w:bookmarkEnd w:id="8"/>
          </w:p>
        </w:tc>
        <w:tc>
          <w:tcPr>
            <w:tcW w:w="6658" w:type="dxa"/>
          </w:tcPr>
          <w:p w14:paraId="2247515A" w14:textId="77777777" w:rsidR="00AB47B0" w:rsidRDefault="003836EA" w:rsidP="00593775">
            <w:r>
              <w:t>To be provided during the implementation of Phase1.</w:t>
            </w:r>
          </w:p>
          <w:p w14:paraId="46B29A1E" w14:textId="2508C02A" w:rsidR="00D07FEF" w:rsidRPr="0004733C" w:rsidRDefault="00D07FEF" w:rsidP="00593775">
            <w:bookmarkStart w:id="9" w:name="_Hlk223636319"/>
            <w:r w:rsidRPr="0004784C">
              <w:rPr>
                <w:b/>
                <w:bCs/>
              </w:rPr>
              <w:t xml:space="preserve">To be </w:t>
            </w:r>
            <w:r>
              <w:rPr>
                <w:b/>
                <w:bCs/>
              </w:rPr>
              <w:t>r</w:t>
            </w:r>
            <w:r w:rsidRPr="0004784C">
              <w:rPr>
                <w:b/>
                <w:bCs/>
              </w:rPr>
              <w:t>evisited</w:t>
            </w:r>
            <w:bookmarkEnd w:id="9"/>
          </w:p>
        </w:tc>
      </w:tr>
      <w:tr w:rsidR="00AB47B0" w:rsidRPr="0004733C" w14:paraId="139AF60C" w14:textId="77777777" w:rsidTr="00962D80">
        <w:trPr>
          <w:cantSplit/>
        </w:trPr>
        <w:tc>
          <w:tcPr>
            <w:tcW w:w="1838" w:type="dxa"/>
          </w:tcPr>
          <w:p w14:paraId="3409FD38" w14:textId="4BB13221" w:rsidR="00AB47B0" w:rsidRPr="0004733C" w:rsidRDefault="00AB47B0" w:rsidP="00593775">
            <w:bookmarkStart w:id="10" w:name="_Hlk223636366"/>
            <w:r>
              <w:t>P1.</w:t>
            </w:r>
            <w:r w:rsidR="003F2934">
              <w:t>5</w:t>
            </w:r>
            <w:r>
              <w:t xml:space="preserve"> </w:t>
            </w:r>
            <w:r w:rsidRPr="0004733C">
              <w:t xml:space="preserve">Mem(Index) - Identify any extra narrative info that is available or </w:t>
            </w:r>
            <w:r>
              <w:t>i</w:t>
            </w:r>
            <w:r w:rsidRPr="0004733C">
              <w:t>s</w:t>
            </w:r>
            <w:r>
              <w:t xml:space="preserve"> </w:t>
            </w:r>
            <w:r w:rsidRPr="0004733C">
              <w:t>needed</w:t>
            </w:r>
            <w:r>
              <w:t xml:space="preserve">               </w:t>
            </w:r>
            <w:bookmarkEnd w:id="10"/>
          </w:p>
        </w:tc>
        <w:tc>
          <w:tcPr>
            <w:tcW w:w="6658" w:type="dxa"/>
          </w:tcPr>
          <w:p w14:paraId="7E440C5B" w14:textId="2E0924BA" w:rsidR="00AB47B0" w:rsidRPr="0004733C" w:rsidRDefault="003836EA" w:rsidP="00593775">
            <w:r>
              <w:t>All narrative info is now either in the Guide worksheet or else referred to within the Guide. It is not thought any further narrative information is required.</w:t>
            </w:r>
          </w:p>
        </w:tc>
      </w:tr>
      <w:tr w:rsidR="00AB47B0" w:rsidRPr="0004733C" w14:paraId="28646A61" w14:textId="2C890214" w:rsidTr="00962D80">
        <w:trPr>
          <w:cantSplit/>
        </w:trPr>
        <w:tc>
          <w:tcPr>
            <w:tcW w:w="1838" w:type="dxa"/>
          </w:tcPr>
          <w:p w14:paraId="1D001CFA" w14:textId="2495C342" w:rsidR="00AB47B0" w:rsidRPr="0004733C" w:rsidRDefault="00AB47B0" w:rsidP="00593775">
            <w:bookmarkStart w:id="11" w:name="_Hlk223636525"/>
            <w:r>
              <w:t>P1.</w:t>
            </w:r>
            <w:r w:rsidR="003F2934">
              <w:t>6</w:t>
            </w:r>
            <w:r>
              <w:t xml:space="preserve"> </w:t>
            </w:r>
            <w:r w:rsidRPr="0004733C">
              <w:t xml:space="preserve">Mem(Index) </w:t>
            </w:r>
            <w:r>
              <w:t>- Produce any extra narrative info that is required.</w:t>
            </w:r>
            <w:bookmarkEnd w:id="11"/>
          </w:p>
        </w:tc>
        <w:tc>
          <w:tcPr>
            <w:tcW w:w="6658" w:type="dxa"/>
          </w:tcPr>
          <w:p w14:paraId="1F218000" w14:textId="419F32CA" w:rsidR="00AB47B0" w:rsidRPr="0004733C" w:rsidRDefault="003836EA" w:rsidP="00593775">
            <w:r>
              <w:t>There is no extra narrative information to produce.</w:t>
            </w:r>
          </w:p>
        </w:tc>
      </w:tr>
      <w:tr w:rsidR="00AB47B0" w:rsidRPr="000053D1" w14:paraId="78D8CDA2" w14:textId="633850F5" w:rsidTr="00962D80">
        <w:trPr>
          <w:cantSplit/>
        </w:trPr>
        <w:tc>
          <w:tcPr>
            <w:tcW w:w="1838" w:type="dxa"/>
          </w:tcPr>
          <w:p w14:paraId="2816416D" w14:textId="146128C8" w:rsidR="00AB47B0" w:rsidRPr="000053D1" w:rsidRDefault="00AB47B0" w:rsidP="00593775">
            <w:bookmarkStart w:id="12" w:name="_Hlk223636566"/>
            <w:r>
              <w:t>P1.</w:t>
            </w:r>
            <w:r w:rsidR="003F2934">
              <w:t>7</w:t>
            </w:r>
            <w:r>
              <w:t xml:space="preserve"> Mem(All) - </w:t>
            </w:r>
            <w:r w:rsidRPr="000053D1">
              <w:t>Carry out ‘wanted or not</w:t>
            </w:r>
            <w:r w:rsidR="003836EA">
              <w:t xml:space="preserve"> in the original index</w:t>
            </w:r>
            <w:r w:rsidR="003836EA" w:rsidRPr="000053D1">
              <w:t>’</w:t>
            </w:r>
            <w:r w:rsidRPr="000053D1">
              <w:t>’ check before each action</w:t>
            </w:r>
            <w:bookmarkEnd w:id="12"/>
          </w:p>
        </w:tc>
        <w:tc>
          <w:tcPr>
            <w:tcW w:w="6658" w:type="dxa"/>
          </w:tcPr>
          <w:p w14:paraId="0286BE1B" w14:textId="1D4F72E1" w:rsidR="00AB47B0" w:rsidRDefault="003836EA" w:rsidP="00593775">
            <w:r>
              <w:t xml:space="preserve">The question and its answer </w:t>
            </w:r>
            <w:proofErr w:type="gramStart"/>
            <w:r>
              <w:t>is</w:t>
            </w:r>
            <w:proofErr w:type="gramEnd"/>
            <w:r>
              <w:t xml:space="preserve"> documented in the first column of this spreadsheet where substantial action is taken.</w:t>
            </w:r>
          </w:p>
        </w:tc>
      </w:tr>
      <w:tr w:rsidR="00AB47B0" w:rsidRPr="000053D1" w14:paraId="42916232" w14:textId="77777777" w:rsidTr="00962D80">
        <w:trPr>
          <w:cantSplit/>
        </w:trPr>
        <w:tc>
          <w:tcPr>
            <w:tcW w:w="1838" w:type="dxa"/>
          </w:tcPr>
          <w:p w14:paraId="57C9FD5D" w14:textId="62A8857C" w:rsidR="00AB47B0" w:rsidRDefault="00AB47B0" w:rsidP="00593775">
            <w:bookmarkStart w:id="13" w:name="_Hlk223636597"/>
            <w:r>
              <w:t>P1.</w:t>
            </w:r>
            <w:r w:rsidR="003F2934">
              <w:t>8</w:t>
            </w:r>
            <w:r>
              <w:t xml:space="preserve"> </w:t>
            </w:r>
            <w:r w:rsidRPr="00BC510B">
              <w:t xml:space="preserve">Mem(Items) - check what formats exist in the collection files                      </w:t>
            </w:r>
            <w:r>
              <w:t xml:space="preserve"> </w:t>
            </w:r>
            <w:r w:rsidRPr="00BC510B">
              <w:t xml:space="preserve"> </w:t>
            </w:r>
            <w:bookmarkEnd w:id="13"/>
          </w:p>
        </w:tc>
        <w:tc>
          <w:tcPr>
            <w:tcW w:w="6658" w:type="dxa"/>
          </w:tcPr>
          <w:p w14:paraId="7B09D084" w14:textId="119FB967" w:rsidR="00AB47B0" w:rsidRDefault="00572CE4" w:rsidP="00593775">
            <w:r>
              <w:t xml:space="preserve">The following file formats are recorded in the ‘Electronic Format’ column in the Index: </w:t>
            </w:r>
            <w:bookmarkStart w:id="14" w:name="_Hlk223636644"/>
            <w:r w:rsidR="005718A3">
              <w:t xml:space="preserve">DOC, DOCX, </w:t>
            </w:r>
            <w:r>
              <w:t xml:space="preserve">FMP12, </w:t>
            </w:r>
            <w:r w:rsidR="00620A7D">
              <w:t xml:space="preserve">HTM, </w:t>
            </w:r>
            <w:r>
              <w:t xml:space="preserve">JPG, M4A, </w:t>
            </w:r>
            <w:r w:rsidR="005718A3">
              <w:t xml:space="preserve">MP3, MP4, </w:t>
            </w:r>
            <w:r>
              <w:t xml:space="preserve">PDF, PDF-A1-b, </w:t>
            </w:r>
            <w:r w:rsidR="005718A3">
              <w:t xml:space="preserve">PPTX, TIFF, XLSM, </w:t>
            </w:r>
            <w:r>
              <w:t>XLSX</w:t>
            </w:r>
            <w:r w:rsidR="005718A3">
              <w:t xml:space="preserve">, </w:t>
            </w:r>
            <w:r w:rsidR="00620A7D">
              <w:t xml:space="preserve">XLS, </w:t>
            </w:r>
            <w:r w:rsidR="005718A3">
              <w:t>ZIP</w:t>
            </w:r>
            <w:bookmarkEnd w:id="14"/>
          </w:p>
        </w:tc>
      </w:tr>
      <w:tr w:rsidR="00AB47B0" w:rsidRPr="000053D1" w14:paraId="39FFCEDE" w14:textId="77777777" w:rsidTr="00962D80">
        <w:trPr>
          <w:cantSplit/>
        </w:trPr>
        <w:tc>
          <w:tcPr>
            <w:tcW w:w="1838" w:type="dxa"/>
          </w:tcPr>
          <w:p w14:paraId="7B68DC92" w14:textId="40997DA6" w:rsidR="00D53812" w:rsidRDefault="00AB47B0" w:rsidP="00593775">
            <w:bookmarkStart w:id="15" w:name="_Hlk223636687"/>
            <w:r>
              <w:lastRenderedPageBreak/>
              <w:t>P1.</w:t>
            </w:r>
            <w:r w:rsidR="003F2934">
              <w:t>9</w:t>
            </w:r>
            <w:r>
              <w:t xml:space="preserve"> </w:t>
            </w:r>
            <w:r w:rsidRPr="00BC510B">
              <w:t xml:space="preserve">Mem(Items) - Define </w:t>
            </w:r>
            <w:r w:rsidR="00EB581E">
              <w:t>AI-friendly</w:t>
            </w:r>
            <w:r w:rsidR="00EB581E" w:rsidRPr="00BC510B">
              <w:t xml:space="preserve"> </w:t>
            </w:r>
            <w:r w:rsidRPr="00BC510B">
              <w:t xml:space="preserve">standard formats      </w:t>
            </w:r>
          </w:p>
          <w:bookmarkEnd w:id="15"/>
          <w:p w14:paraId="182212B0" w14:textId="77777777" w:rsidR="00D53812" w:rsidRDefault="00D53812" w:rsidP="00593775"/>
          <w:p w14:paraId="6E339E3C" w14:textId="0D93038F" w:rsidR="00D53812" w:rsidRDefault="00D53812" w:rsidP="00D53812">
            <w:pPr>
              <w:rPr>
                <w:b/>
                <w:bCs/>
              </w:rPr>
            </w:pPr>
            <w:r w:rsidRPr="00B66633">
              <w:rPr>
                <w:b/>
                <w:bCs/>
              </w:rPr>
              <w:t xml:space="preserve">Should these changes be made to the original Index? </w:t>
            </w:r>
            <w:r>
              <w:rPr>
                <w:b/>
                <w:bCs/>
              </w:rPr>
              <w:t>NO</w:t>
            </w:r>
          </w:p>
          <w:p w14:paraId="5FAF63CA" w14:textId="77777777" w:rsidR="00D53812" w:rsidRDefault="00AB47B0" w:rsidP="00593775">
            <w:r w:rsidRPr="00BC510B">
              <w:t xml:space="preserve">  </w:t>
            </w:r>
          </w:p>
          <w:p w14:paraId="61139971" w14:textId="369C1F5D" w:rsidR="00AB47B0" w:rsidRDefault="00D53812" w:rsidP="00593775">
            <w:r>
              <w:rPr>
                <w:b/>
                <w:bCs/>
              </w:rPr>
              <w:t>Took approx. 20 mins</w:t>
            </w:r>
            <w:r w:rsidR="00AB47B0" w:rsidRPr="00BC510B">
              <w:t xml:space="preserve">       </w:t>
            </w:r>
            <w:r w:rsidR="00AB47B0">
              <w:t xml:space="preserve"> </w:t>
            </w:r>
            <w:r w:rsidR="00AB47B0" w:rsidRPr="00BC510B">
              <w:t xml:space="preserve"> </w:t>
            </w:r>
          </w:p>
        </w:tc>
        <w:tc>
          <w:tcPr>
            <w:tcW w:w="6658" w:type="dxa"/>
          </w:tcPr>
          <w:p w14:paraId="47F26B01" w14:textId="0359D892" w:rsidR="00AB47B0" w:rsidRDefault="00EB581E" w:rsidP="00593775">
            <w:r>
              <w:t>For phase 1</w:t>
            </w:r>
            <w:bookmarkStart w:id="16" w:name="_Hlk223636710"/>
            <w:r>
              <w:t>, only the content of the Index (an XLSX document) is to be used</w:t>
            </w:r>
            <w:bookmarkEnd w:id="16"/>
            <w:r>
              <w:t xml:space="preserve">, so there is no need for any standardisation. The advice for text is to standardise on ‘UTF-8 plain text, XML, or similar’. </w:t>
            </w:r>
            <w:r w:rsidR="00D53812">
              <w:t>The Blueberry AI website (</w:t>
            </w:r>
            <w:hyperlink r:id="rId6" w:history="1">
              <w:r w:rsidR="00D53812" w:rsidRPr="00943FFF">
                <w:rPr>
                  <w:rStyle w:val="Hyperlink"/>
                </w:rPr>
                <w:t>https://www.bbconsult.co.uk/ai/blog/llm-file-format/</w:t>
              </w:r>
            </w:hyperlink>
            <w:r w:rsidR="00D53812">
              <w:t>) advises the following, “</w:t>
            </w:r>
            <w:r w:rsidR="00D53812" w:rsidRPr="00D53812">
              <w:rPr>
                <w:b/>
                <w:bCs/>
              </w:rPr>
              <w:t>Spreadsheets (.csv, .</w:t>
            </w:r>
            <w:proofErr w:type="spellStart"/>
            <w:r w:rsidR="00D53812" w:rsidRPr="00D53812">
              <w:rPr>
                <w:b/>
                <w:bCs/>
              </w:rPr>
              <w:t>xls</w:t>
            </w:r>
            <w:proofErr w:type="spellEnd"/>
            <w:r w:rsidR="00D53812" w:rsidRPr="00D53812">
              <w:rPr>
                <w:b/>
                <w:bCs/>
              </w:rPr>
              <w:t xml:space="preserve">, .xlsx): </w:t>
            </w:r>
            <w:r w:rsidR="00D53812" w:rsidRPr="00D53812">
              <w:t xml:space="preserve">Gemini is the undisputed leader here, being the only model in this comparison with full, native support for Excel files (.xlsx). All models can handle the simpler .csv (Comma-Separated Values) format, but Gemini's ability to parse complex, multi-sheet Excel workbooks </w:t>
            </w:r>
            <w:proofErr w:type="gramStart"/>
            <w:r w:rsidR="00D53812" w:rsidRPr="00D53812">
              <w:t>opens</w:t>
            </w:r>
            <w:proofErr w:type="gramEnd"/>
            <w:r w:rsidR="00D53812" w:rsidRPr="00D53812">
              <w:t xml:space="preserve"> up powerful possibilities for financial modelling and data analysis without data conversion.</w:t>
            </w:r>
            <w:r w:rsidR="00D53812">
              <w:t>” Therefore, for this first phase experiment I plan to convert the Mementos Index into csv format.</w:t>
            </w:r>
          </w:p>
        </w:tc>
      </w:tr>
      <w:tr w:rsidR="00AB47B0" w:rsidRPr="000053D1" w14:paraId="39708E5C" w14:textId="77777777" w:rsidTr="00962D80">
        <w:trPr>
          <w:cantSplit/>
        </w:trPr>
        <w:tc>
          <w:tcPr>
            <w:tcW w:w="1838" w:type="dxa"/>
          </w:tcPr>
          <w:p w14:paraId="37569ECF" w14:textId="43BA1D8B" w:rsidR="00AB47B0" w:rsidRDefault="00AB47B0" w:rsidP="00593775">
            <w:bookmarkStart w:id="17" w:name="_Hlk223636767"/>
            <w:r>
              <w:t>P1.</w:t>
            </w:r>
            <w:r w:rsidR="003F2934">
              <w:t>10</w:t>
            </w:r>
            <w:r>
              <w:t xml:space="preserve"> </w:t>
            </w:r>
            <w:r w:rsidRPr="00BC510B">
              <w:t>Mem(Items) - make any changes to existing formats to conform to new standards</w:t>
            </w:r>
          </w:p>
          <w:bookmarkEnd w:id="17"/>
          <w:p w14:paraId="48458EB5" w14:textId="77777777" w:rsidR="006E52A3" w:rsidRDefault="006E52A3" w:rsidP="00593775"/>
          <w:p w14:paraId="4C0707ED" w14:textId="77777777" w:rsidR="006E52A3" w:rsidRDefault="006E52A3" w:rsidP="006E52A3">
            <w:pPr>
              <w:rPr>
                <w:b/>
                <w:bCs/>
              </w:rPr>
            </w:pPr>
            <w:r w:rsidRPr="00B66633">
              <w:rPr>
                <w:b/>
                <w:bCs/>
              </w:rPr>
              <w:t xml:space="preserve">Should these changes be made to the original Index? </w:t>
            </w:r>
            <w:r>
              <w:rPr>
                <w:b/>
                <w:bCs/>
              </w:rPr>
              <w:t>NO</w:t>
            </w:r>
          </w:p>
          <w:p w14:paraId="44C7FBD2" w14:textId="77777777" w:rsidR="006E52A3" w:rsidRDefault="006E52A3" w:rsidP="006E52A3">
            <w:r w:rsidRPr="00BC510B">
              <w:t xml:space="preserve">  </w:t>
            </w:r>
          </w:p>
          <w:p w14:paraId="6F87E91E" w14:textId="291078A1" w:rsidR="006E52A3" w:rsidRDefault="006E52A3" w:rsidP="006E52A3">
            <w:r>
              <w:rPr>
                <w:b/>
                <w:bCs/>
              </w:rPr>
              <w:t>Took approx.</w:t>
            </w:r>
            <w:r w:rsidR="00162947">
              <w:rPr>
                <w:b/>
                <w:bCs/>
              </w:rPr>
              <w:t xml:space="preserve"> 10 mins</w:t>
            </w:r>
          </w:p>
          <w:p w14:paraId="776CEB69" w14:textId="7C1A4DA7" w:rsidR="006E52A3" w:rsidRDefault="006E52A3" w:rsidP="00593775"/>
        </w:tc>
        <w:tc>
          <w:tcPr>
            <w:tcW w:w="6658" w:type="dxa"/>
          </w:tcPr>
          <w:p w14:paraId="28900DDD" w14:textId="3B968B7F" w:rsidR="00AB47B0" w:rsidRDefault="00D53812" w:rsidP="00593775">
            <w:r>
              <w:t xml:space="preserve">I </w:t>
            </w:r>
            <w:r w:rsidR="006E52A3">
              <w:t>wait</w:t>
            </w:r>
            <w:r w:rsidR="00BC543C">
              <w:t>ed</w:t>
            </w:r>
            <w:r w:rsidR="006E52A3">
              <w:t xml:space="preserve"> until I finished </w:t>
            </w:r>
            <w:r w:rsidR="00BC543C">
              <w:t xml:space="preserve">all </w:t>
            </w:r>
            <w:r w:rsidR="006E52A3">
              <w:t xml:space="preserve">this prep work before converting the Index to csv, in case there </w:t>
            </w:r>
            <w:r w:rsidR="00BC543C">
              <w:t>were</w:t>
            </w:r>
            <w:r w:rsidR="006E52A3">
              <w:t xml:space="preserve"> any changes I need to make to the original file.</w:t>
            </w:r>
            <w:r w:rsidR="00BC543C">
              <w:t xml:space="preserve"> </w:t>
            </w:r>
            <w:bookmarkStart w:id="18" w:name="_Hlk223636823"/>
            <w:r w:rsidR="00BC543C">
              <w:t>You can’t create a csv with multiple worksheets so I created two new files: one with the file name ‘</w:t>
            </w:r>
            <w:r w:rsidR="00BC543C" w:rsidRPr="00114863">
              <w:t>Mementos Collection Index for AI Phase 1</w:t>
            </w:r>
            <w:r w:rsidR="00BC543C">
              <w:t>.csv’, and another with the file name ‘</w:t>
            </w:r>
            <w:r w:rsidR="00BC543C" w:rsidRPr="00114863">
              <w:t xml:space="preserve">Mementos Collection </w:t>
            </w:r>
            <w:r w:rsidR="00BC543C">
              <w:t>Guide</w:t>
            </w:r>
            <w:r w:rsidR="00BC543C" w:rsidRPr="00114863">
              <w:t xml:space="preserve"> for AI Phase 1</w:t>
            </w:r>
            <w:r w:rsidR="00BC543C">
              <w:t xml:space="preserve">’. </w:t>
            </w:r>
            <w:bookmarkEnd w:id="18"/>
            <w:r w:rsidR="00BC543C">
              <w:t xml:space="preserve">I noticed that </w:t>
            </w:r>
            <w:r w:rsidR="00162947">
              <w:t>the guide has text in a new cell for each line (i.e. not wrapped within a single cell) and I’m not sure whether this will cause problems downstream. We’ll see.</w:t>
            </w:r>
            <w:r w:rsidR="0097701E">
              <w:t xml:space="preserve"> For the Index file, I removed seven blank rows between the column headings row and the first entry.</w:t>
            </w:r>
          </w:p>
        </w:tc>
      </w:tr>
      <w:tr w:rsidR="00AB47B0" w:rsidRPr="000053D1" w14:paraId="172A2B0C" w14:textId="77777777" w:rsidTr="00962D80">
        <w:trPr>
          <w:cantSplit/>
        </w:trPr>
        <w:tc>
          <w:tcPr>
            <w:tcW w:w="1838" w:type="dxa"/>
          </w:tcPr>
          <w:p w14:paraId="6072FBF9" w14:textId="77777777" w:rsidR="00AB47B0" w:rsidRDefault="00AB47B0" w:rsidP="00593775">
            <w:bookmarkStart w:id="19" w:name="_Hlk223636864"/>
            <w:r>
              <w:t>P1.1</w:t>
            </w:r>
            <w:r w:rsidR="003F2934">
              <w:t>1</w:t>
            </w:r>
            <w:r>
              <w:t xml:space="preserve"> </w:t>
            </w:r>
            <w:r w:rsidRPr="00BC510B">
              <w:t xml:space="preserve">Mem(All) </w:t>
            </w:r>
            <w:r>
              <w:t>- Document the folder structure</w:t>
            </w:r>
            <w:r w:rsidR="00766B1C">
              <w:t xml:space="preserve"> for the derivative file   </w:t>
            </w:r>
            <w:r>
              <w:t xml:space="preserve">   </w:t>
            </w:r>
          </w:p>
          <w:p w14:paraId="36396549" w14:textId="77777777" w:rsidR="0052719E" w:rsidRDefault="0052719E" w:rsidP="0052719E">
            <w:pPr>
              <w:rPr>
                <w:b/>
                <w:bCs/>
              </w:rPr>
            </w:pPr>
            <w:r w:rsidRPr="00B66633">
              <w:rPr>
                <w:b/>
                <w:bCs/>
              </w:rPr>
              <w:t xml:space="preserve">Should these changes be made to the original Index? </w:t>
            </w:r>
            <w:r>
              <w:rPr>
                <w:b/>
                <w:bCs/>
              </w:rPr>
              <w:t>NO</w:t>
            </w:r>
          </w:p>
          <w:p w14:paraId="52EF7597" w14:textId="77777777" w:rsidR="0052719E" w:rsidRDefault="0052719E" w:rsidP="0052719E">
            <w:r w:rsidRPr="00BC510B">
              <w:t xml:space="preserve">  </w:t>
            </w:r>
          </w:p>
          <w:p w14:paraId="477EF40D" w14:textId="6B994178" w:rsidR="0052719E" w:rsidRDefault="0052719E" w:rsidP="0052719E">
            <w:r>
              <w:rPr>
                <w:b/>
                <w:bCs/>
              </w:rPr>
              <w:t>Took approx. 5 mins</w:t>
            </w:r>
          </w:p>
          <w:p w14:paraId="02D05325" w14:textId="2B552B34" w:rsidR="0052719E" w:rsidRDefault="0052719E" w:rsidP="00593775"/>
        </w:tc>
        <w:tc>
          <w:tcPr>
            <w:tcW w:w="6658" w:type="dxa"/>
          </w:tcPr>
          <w:p w14:paraId="244F4E4D" w14:textId="2667A763" w:rsidR="00AB47B0" w:rsidRDefault="00974E8D" w:rsidP="00593775">
            <w:r>
              <w:t xml:space="preserve">The Mementos Index </w:t>
            </w:r>
            <w:r w:rsidR="00766B1C">
              <w:t>(Mementos Index.xlsx)</w:t>
            </w:r>
            <w:r>
              <w:t>has the following file path name:</w:t>
            </w:r>
          </w:p>
          <w:p w14:paraId="566B87CF" w14:textId="77777777" w:rsidR="00974E8D" w:rsidRDefault="00766B1C" w:rsidP="00593775">
            <w:r w:rsidRPr="00766B1C">
              <w:t>C:\Users\pwils\Documents\APAWCOL\Family History (Archive, Mementos, Display Case Items, Photos, Recordings, Story Boards, Trophies)\Mementos</w:t>
            </w:r>
          </w:p>
          <w:p w14:paraId="0D126E9D" w14:textId="1DD193D6" w:rsidR="00766B1C" w:rsidRDefault="00705F28" w:rsidP="00593775">
            <w:r>
              <w:t xml:space="preserve">However, </w:t>
            </w:r>
            <w:bookmarkStart w:id="20" w:name="_Hlk223642051"/>
            <w:r>
              <w:t xml:space="preserve">for all this AI work, I have created a new folder into which these derived files, and all other files derived for AI purposes, will be placed: </w:t>
            </w:r>
            <w:r w:rsidRPr="00766B1C">
              <w:t>C:\Users\pwils\Documents\A</w:t>
            </w:r>
            <w:r>
              <w:t>I.</w:t>
            </w:r>
            <w:bookmarkEnd w:id="20"/>
          </w:p>
        </w:tc>
      </w:tr>
      <w:tr w:rsidR="00AB47B0" w:rsidRPr="000053D1" w14:paraId="0D407E8E" w14:textId="77777777" w:rsidTr="00962D80">
        <w:trPr>
          <w:cantSplit/>
        </w:trPr>
        <w:tc>
          <w:tcPr>
            <w:tcW w:w="1838" w:type="dxa"/>
          </w:tcPr>
          <w:p w14:paraId="26A641C2" w14:textId="7BA1657E" w:rsidR="00AB47B0" w:rsidRDefault="00AB47B0" w:rsidP="00593775">
            <w:bookmarkStart w:id="21" w:name="_Hlk223642080"/>
            <w:bookmarkEnd w:id="19"/>
            <w:r>
              <w:lastRenderedPageBreak/>
              <w:t>P1.1</w:t>
            </w:r>
            <w:r w:rsidR="003F2934">
              <w:t>2</w:t>
            </w:r>
            <w:r>
              <w:t xml:space="preserve"> </w:t>
            </w:r>
            <w:r w:rsidRPr="00BC510B">
              <w:t>Mem(All) - Find out what ‘supports programmatic retrieval’ means in practice</w:t>
            </w:r>
            <w:r>
              <w:t xml:space="preserve">            </w:t>
            </w:r>
          </w:p>
          <w:bookmarkEnd w:id="21"/>
          <w:p w14:paraId="46100F0C" w14:textId="77777777" w:rsidR="00162947" w:rsidRDefault="00162947" w:rsidP="00593775"/>
          <w:p w14:paraId="711E282E" w14:textId="65B3AD5F" w:rsidR="00162947" w:rsidRDefault="00162947" w:rsidP="00162947">
            <w:r>
              <w:rPr>
                <w:b/>
                <w:bCs/>
              </w:rPr>
              <w:t>Took approx. 20 mins</w:t>
            </w:r>
          </w:p>
          <w:p w14:paraId="1FC53281" w14:textId="21EA539E" w:rsidR="00162947" w:rsidRDefault="00162947" w:rsidP="00593775"/>
        </w:tc>
        <w:tc>
          <w:tcPr>
            <w:tcW w:w="6658" w:type="dxa"/>
          </w:tcPr>
          <w:p w14:paraId="7792C24C" w14:textId="42F7C3E6" w:rsidR="00AB3F6D" w:rsidRPr="00AB3F6D" w:rsidRDefault="00AB3F6D" w:rsidP="00AB3F6D">
            <w:pPr>
              <w:rPr>
                <w:b/>
                <w:bCs/>
              </w:rPr>
            </w:pPr>
            <w:r>
              <w:t>ChatGPT gave me a full answer to the question “</w:t>
            </w:r>
            <w:r w:rsidRPr="00AB3F6D">
              <w:t>what does 'supports programmatic retrieval' mean in practice when building a RAG AI capability</w:t>
            </w:r>
            <w:r>
              <w:t>?” The key part of the answer was “</w:t>
            </w:r>
            <w:r w:rsidRPr="00AB3F6D">
              <w:rPr>
                <w:b/>
                <w:bCs/>
              </w:rPr>
              <w:t>Your System Can Query a Knowledge Store via Code</w:t>
            </w:r>
            <w:r>
              <w:rPr>
                <w:b/>
                <w:bCs/>
              </w:rPr>
              <w:t xml:space="preserve">. </w:t>
            </w:r>
            <w:r w:rsidRPr="00AB3F6D">
              <w:t xml:space="preserve">In RAG, </w:t>
            </w:r>
            <w:bookmarkStart w:id="22" w:name="_Hlk223642132"/>
            <w:r w:rsidRPr="00AB3F6D">
              <w:t>this usually means:</w:t>
            </w:r>
          </w:p>
          <w:p w14:paraId="5434D6B1" w14:textId="77777777" w:rsidR="00AB3F6D" w:rsidRPr="00AB3F6D" w:rsidRDefault="00AB3F6D" w:rsidP="00AB3F6D">
            <w:pPr>
              <w:numPr>
                <w:ilvl w:val="0"/>
                <w:numId w:val="7"/>
              </w:numPr>
            </w:pPr>
            <w:r w:rsidRPr="00AB3F6D">
              <w:t xml:space="preserve">Querying a </w:t>
            </w:r>
            <w:r w:rsidRPr="00AB3F6D">
              <w:rPr>
                <w:b/>
                <w:bCs/>
              </w:rPr>
              <w:t>vector database</w:t>
            </w:r>
          </w:p>
          <w:p w14:paraId="0A1D3286" w14:textId="77777777" w:rsidR="00AB3F6D" w:rsidRPr="00AB3F6D" w:rsidRDefault="00AB3F6D" w:rsidP="00AB3F6D">
            <w:pPr>
              <w:numPr>
                <w:ilvl w:val="0"/>
                <w:numId w:val="7"/>
              </w:numPr>
            </w:pPr>
            <w:r w:rsidRPr="00AB3F6D">
              <w:t xml:space="preserve">Calling a </w:t>
            </w:r>
            <w:r w:rsidRPr="00AB3F6D">
              <w:rPr>
                <w:b/>
                <w:bCs/>
              </w:rPr>
              <w:t>search API</w:t>
            </w:r>
          </w:p>
          <w:p w14:paraId="1D27F993" w14:textId="77777777" w:rsidR="00AB3F6D" w:rsidRPr="00AB3F6D" w:rsidRDefault="00AB3F6D" w:rsidP="00AB3F6D">
            <w:pPr>
              <w:numPr>
                <w:ilvl w:val="0"/>
                <w:numId w:val="7"/>
              </w:numPr>
            </w:pPr>
            <w:r w:rsidRPr="00AB3F6D">
              <w:t xml:space="preserve">Pulling documents from a </w:t>
            </w:r>
            <w:r w:rsidRPr="00AB3F6D">
              <w:rPr>
                <w:b/>
                <w:bCs/>
              </w:rPr>
              <w:t>content repository</w:t>
            </w:r>
          </w:p>
          <w:p w14:paraId="612AC935" w14:textId="4B4FEB04" w:rsidR="00162947" w:rsidRPr="00AB3F6D" w:rsidRDefault="00AB3F6D" w:rsidP="00162947">
            <w:pPr>
              <w:numPr>
                <w:ilvl w:val="0"/>
                <w:numId w:val="7"/>
              </w:numPr>
            </w:pPr>
            <w:r w:rsidRPr="00AB3F6D">
              <w:t xml:space="preserve">Fetching structured data from a </w:t>
            </w:r>
            <w:r w:rsidRPr="00AB3F6D">
              <w:rPr>
                <w:b/>
                <w:bCs/>
              </w:rPr>
              <w:t>database</w:t>
            </w:r>
            <w:r>
              <w:rPr>
                <w:b/>
                <w:bCs/>
              </w:rPr>
              <w:t>”</w:t>
            </w:r>
          </w:p>
          <w:bookmarkEnd w:id="22"/>
          <w:p w14:paraId="6B2F363C" w14:textId="510C2974" w:rsidR="00AB47B0" w:rsidRDefault="00AB47B0" w:rsidP="00593775"/>
        </w:tc>
      </w:tr>
      <w:tr w:rsidR="00AB47B0" w:rsidRPr="000053D1" w14:paraId="618E2D71" w14:textId="77777777" w:rsidTr="00962D80">
        <w:trPr>
          <w:cantSplit/>
        </w:trPr>
        <w:tc>
          <w:tcPr>
            <w:tcW w:w="1838" w:type="dxa"/>
          </w:tcPr>
          <w:p w14:paraId="72B5FBD7" w14:textId="457C124F" w:rsidR="00AB47B0" w:rsidRDefault="00AB47B0" w:rsidP="00593775">
            <w:bookmarkStart w:id="23" w:name="_Hlk223642198"/>
            <w:r>
              <w:t>P1.1</w:t>
            </w:r>
            <w:r w:rsidR="003F2934">
              <w:t>3</w:t>
            </w:r>
            <w:r>
              <w:t xml:space="preserve"> </w:t>
            </w:r>
            <w:r w:rsidRPr="00BC510B">
              <w:t xml:space="preserve">Mem(All) </w:t>
            </w:r>
            <w:r>
              <w:t>- Make any changes necessary to support programmatic retrieval</w:t>
            </w:r>
            <w:bookmarkEnd w:id="23"/>
          </w:p>
        </w:tc>
        <w:tc>
          <w:tcPr>
            <w:tcW w:w="6658" w:type="dxa"/>
          </w:tcPr>
          <w:p w14:paraId="03BA5488" w14:textId="10E4DA46" w:rsidR="00AB47B0" w:rsidRDefault="0004784C" w:rsidP="00593775">
            <w:r>
              <w:t xml:space="preserve">It may be that the relevant data can be pulled directly out of the csv Index via an API. However, I’m not sure about this, and, in any case, </w:t>
            </w:r>
            <w:bookmarkStart w:id="24" w:name="_Hlk223642230"/>
            <w:r>
              <w:t xml:space="preserve">I don’t have enough knowledge yet to understand if any changes are needed to support that process. I will have </w:t>
            </w:r>
            <w:r w:rsidR="008E06E2">
              <w:t xml:space="preserve">to </w:t>
            </w:r>
            <w:r>
              <w:t>revisit this question when I actually start to try to implement the capability.</w:t>
            </w:r>
          </w:p>
          <w:bookmarkEnd w:id="24"/>
          <w:p w14:paraId="4A8B6AD4" w14:textId="23856CDD" w:rsidR="0004784C" w:rsidRDefault="0004784C" w:rsidP="00593775">
            <w:r w:rsidRPr="0004784C">
              <w:rPr>
                <w:b/>
                <w:bCs/>
              </w:rPr>
              <w:t xml:space="preserve">To be </w:t>
            </w:r>
            <w:r>
              <w:rPr>
                <w:b/>
                <w:bCs/>
              </w:rPr>
              <w:t>r</w:t>
            </w:r>
            <w:r w:rsidRPr="0004784C">
              <w:rPr>
                <w:b/>
                <w:bCs/>
              </w:rPr>
              <w:t>evisited</w:t>
            </w:r>
          </w:p>
        </w:tc>
      </w:tr>
      <w:tr w:rsidR="00AB47B0" w:rsidRPr="000053D1" w14:paraId="01071C09" w14:textId="77777777" w:rsidTr="00962D80">
        <w:trPr>
          <w:cantSplit/>
        </w:trPr>
        <w:tc>
          <w:tcPr>
            <w:tcW w:w="1838" w:type="dxa"/>
          </w:tcPr>
          <w:p w14:paraId="4A3499F1" w14:textId="32AE54A7" w:rsidR="00AB47B0" w:rsidRDefault="00AB47B0" w:rsidP="00593775">
            <w:bookmarkStart w:id="25" w:name="_Hlk223642273"/>
            <w:r>
              <w:t>P1.1</w:t>
            </w:r>
            <w:r w:rsidR="003F2934">
              <w:t>4</w:t>
            </w:r>
            <w:r>
              <w:t xml:space="preserve"> </w:t>
            </w:r>
            <w:r w:rsidRPr="00DF751F">
              <w:t>Mem(All) – Prompt for ideas about success metrics as each action is taken in the course of the project</w:t>
            </w:r>
            <w:bookmarkEnd w:id="25"/>
          </w:p>
        </w:tc>
        <w:tc>
          <w:tcPr>
            <w:tcW w:w="6658" w:type="dxa"/>
          </w:tcPr>
          <w:p w14:paraId="6E4997ED" w14:textId="77777777" w:rsidR="00AB47B0" w:rsidRDefault="0004784C" w:rsidP="00593775">
            <w:r>
              <w:t>I will need to incorporate this into the plans for actually building the RAG capability.</w:t>
            </w:r>
          </w:p>
          <w:p w14:paraId="5F02947B" w14:textId="429D2921" w:rsidR="0004784C" w:rsidRPr="0004784C" w:rsidRDefault="0004784C" w:rsidP="00593775">
            <w:pPr>
              <w:rPr>
                <w:b/>
                <w:bCs/>
              </w:rPr>
            </w:pPr>
            <w:r w:rsidRPr="0004784C">
              <w:rPr>
                <w:b/>
                <w:bCs/>
              </w:rPr>
              <w:t xml:space="preserve">To be </w:t>
            </w:r>
            <w:r>
              <w:rPr>
                <w:b/>
                <w:bCs/>
              </w:rPr>
              <w:t>r</w:t>
            </w:r>
            <w:r w:rsidRPr="0004784C">
              <w:rPr>
                <w:b/>
                <w:bCs/>
              </w:rPr>
              <w:t>evisited</w:t>
            </w:r>
          </w:p>
        </w:tc>
      </w:tr>
    </w:tbl>
    <w:p w14:paraId="4CF3DC55" w14:textId="77777777" w:rsidR="00AB47B0" w:rsidRDefault="00AB47B0" w:rsidP="00E67492"/>
    <w:p w14:paraId="5C0B36F1" w14:textId="7496C018" w:rsidR="00AB47B0" w:rsidRPr="00A5429B" w:rsidRDefault="0052719E" w:rsidP="00E67492">
      <w:r>
        <w:t>Total time spent as recorded against each action above = 6 hours 35 minutes. Assuming an additional 25 minutes for the actions against which no time was recorded, the total time spent on this Preparedness was approximately 7 hours.</w:t>
      </w:r>
    </w:p>
    <w:p w14:paraId="5CB655B5" w14:textId="5B6BB1FC" w:rsidR="004932D4" w:rsidRPr="002F6CB9" w:rsidRDefault="00724CC3" w:rsidP="00E67492">
      <w:pPr>
        <w:rPr>
          <w:b/>
          <w:bCs/>
        </w:rPr>
      </w:pPr>
      <w:r w:rsidRPr="00724CC3">
        <w:rPr>
          <w:b/>
          <w:bCs/>
        </w:rPr>
        <w:t xml:space="preserve">Paul Wilson, </w:t>
      </w:r>
      <w:r w:rsidR="00A5429B">
        <w:rPr>
          <w:b/>
          <w:bCs/>
        </w:rPr>
        <w:t>0</w:t>
      </w:r>
      <w:r w:rsidR="0052719E">
        <w:rPr>
          <w:b/>
          <w:bCs/>
        </w:rPr>
        <w:t>6</w:t>
      </w:r>
      <w:r w:rsidR="00A5429B">
        <w:rPr>
          <w:b/>
          <w:bCs/>
        </w:rPr>
        <w:t>Mar</w:t>
      </w:r>
      <w:r w:rsidRPr="00724CC3">
        <w:rPr>
          <w:b/>
          <w:bCs/>
        </w:rPr>
        <w:t>2026</w:t>
      </w:r>
    </w:p>
    <w:sectPr w:rsidR="004932D4" w:rsidRPr="002F6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6AE"/>
    <w:multiLevelType w:val="multilevel"/>
    <w:tmpl w:val="AA32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742DE"/>
    <w:multiLevelType w:val="hybridMultilevel"/>
    <w:tmpl w:val="D5DA9554"/>
    <w:lvl w:ilvl="0" w:tplc="E71A69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8653F"/>
    <w:multiLevelType w:val="hybridMultilevel"/>
    <w:tmpl w:val="02188C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4469FE"/>
    <w:multiLevelType w:val="hybridMultilevel"/>
    <w:tmpl w:val="02F8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1C3B80"/>
    <w:multiLevelType w:val="hybridMultilevel"/>
    <w:tmpl w:val="BD54D626"/>
    <w:lvl w:ilvl="0" w:tplc="E12024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4F75"/>
    <w:multiLevelType w:val="hybridMultilevel"/>
    <w:tmpl w:val="DDCC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84193"/>
    <w:multiLevelType w:val="hybridMultilevel"/>
    <w:tmpl w:val="4138761A"/>
    <w:lvl w:ilvl="0" w:tplc="08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5192458">
    <w:abstractNumId w:val="1"/>
  </w:num>
  <w:num w:numId="2" w16cid:durableId="1460566397">
    <w:abstractNumId w:val="4"/>
  </w:num>
  <w:num w:numId="3" w16cid:durableId="1497039215">
    <w:abstractNumId w:val="6"/>
  </w:num>
  <w:num w:numId="4" w16cid:durableId="916598278">
    <w:abstractNumId w:val="5"/>
  </w:num>
  <w:num w:numId="5" w16cid:durableId="790048417">
    <w:abstractNumId w:val="3"/>
  </w:num>
  <w:num w:numId="6" w16cid:durableId="229386373">
    <w:abstractNumId w:val="2"/>
  </w:num>
  <w:num w:numId="7" w16cid:durableId="17473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35"/>
    <w:rsid w:val="00000045"/>
    <w:rsid w:val="000053D1"/>
    <w:rsid w:val="00025F0E"/>
    <w:rsid w:val="00026D3A"/>
    <w:rsid w:val="0004729F"/>
    <w:rsid w:val="0004733C"/>
    <w:rsid w:val="0004784C"/>
    <w:rsid w:val="00047DD8"/>
    <w:rsid w:val="000544DA"/>
    <w:rsid w:val="000B2D8F"/>
    <w:rsid w:val="000C6B17"/>
    <w:rsid w:val="000F322F"/>
    <w:rsid w:val="00114863"/>
    <w:rsid w:val="00145D2A"/>
    <w:rsid w:val="0016233B"/>
    <w:rsid w:val="00162947"/>
    <w:rsid w:val="001A6863"/>
    <w:rsid w:val="001A77F0"/>
    <w:rsid w:val="001C46EA"/>
    <w:rsid w:val="002904A9"/>
    <w:rsid w:val="00292813"/>
    <w:rsid w:val="002C3E02"/>
    <w:rsid w:val="002D78CD"/>
    <w:rsid w:val="002F6CB9"/>
    <w:rsid w:val="00311883"/>
    <w:rsid w:val="003246F1"/>
    <w:rsid w:val="00333721"/>
    <w:rsid w:val="003414CA"/>
    <w:rsid w:val="003836EA"/>
    <w:rsid w:val="00391C28"/>
    <w:rsid w:val="00395064"/>
    <w:rsid w:val="003F078F"/>
    <w:rsid w:val="003F2934"/>
    <w:rsid w:val="0041105E"/>
    <w:rsid w:val="00412877"/>
    <w:rsid w:val="00446B22"/>
    <w:rsid w:val="004778FD"/>
    <w:rsid w:val="00477A0D"/>
    <w:rsid w:val="00483BE6"/>
    <w:rsid w:val="00490548"/>
    <w:rsid w:val="004932D4"/>
    <w:rsid w:val="00512428"/>
    <w:rsid w:val="0051727D"/>
    <w:rsid w:val="0052473A"/>
    <w:rsid w:val="0052719E"/>
    <w:rsid w:val="00536B31"/>
    <w:rsid w:val="005718A3"/>
    <w:rsid w:val="00572CE4"/>
    <w:rsid w:val="00581E61"/>
    <w:rsid w:val="005863EF"/>
    <w:rsid w:val="00597622"/>
    <w:rsid w:val="005C32CC"/>
    <w:rsid w:val="005D3EA9"/>
    <w:rsid w:val="00601A51"/>
    <w:rsid w:val="00601C7B"/>
    <w:rsid w:val="00620A7D"/>
    <w:rsid w:val="0069644E"/>
    <w:rsid w:val="006E52A3"/>
    <w:rsid w:val="006E59DA"/>
    <w:rsid w:val="00700293"/>
    <w:rsid w:val="00705F28"/>
    <w:rsid w:val="00711EC0"/>
    <w:rsid w:val="00713035"/>
    <w:rsid w:val="00713B5D"/>
    <w:rsid w:val="00724CC3"/>
    <w:rsid w:val="00764FEB"/>
    <w:rsid w:val="00766B1C"/>
    <w:rsid w:val="00781CB6"/>
    <w:rsid w:val="00791BD1"/>
    <w:rsid w:val="007C4291"/>
    <w:rsid w:val="007E3BDD"/>
    <w:rsid w:val="0080445B"/>
    <w:rsid w:val="00807B6D"/>
    <w:rsid w:val="008D18E4"/>
    <w:rsid w:val="008E06E2"/>
    <w:rsid w:val="008E6F8E"/>
    <w:rsid w:val="00906562"/>
    <w:rsid w:val="009232FA"/>
    <w:rsid w:val="00951AF0"/>
    <w:rsid w:val="00962D80"/>
    <w:rsid w:val="0097498A"/>
    <w:rsid w:val="00974E8D"/>
    <w:rsid w:val="0097701E"/>
    <w:rsid w:val="009A609F"/>
    <w:rsid w:val="009A6583"/>
    <w:rsid w:val="009D752E"/>
    <w:rsid w:val="009D7C33"/>
    <w:rsid w:val="009E1931"/>
    <w:rsid w:val="009F2F07"/>
    <w:rsid w:val="00A53325"/>
    <w:rsid w:val="00A5429B"/>
    <w:rsid w:val="00A74E03"/>
    <w:rsid w:val="00A91994"/>
    <w:rsid w:val="00AA0E76"/>
    <w:rsid w:val="00AB243A"/>
    <w:rsid w:val="00AB28D7"/>
    <w:rsid w:val="00AB3F6D"/>
    <w:rsid w:val="00AB47B0"/>
    <w:rsid w:val="00AE5FEB"/>
    <w:rsid w:val="00B156C7"/>
    <w:rsid w:val="00B401B4"/>
    <w:rsid w:val="00B54943"/>
    <w:rsid w:val="00B66633"/>
    <w:rsid w:val="00B66E6C"/>
    <w:rsid w:val="00BA0A91"/>
    <w:rsid w:val="00BA2D47"/>
    <w:rsid w:val="00BB0759"/>
    <w:rsid w:val="00BB1A41"/>
    <w:rsid w:val="00BC510B"/>
    <w:rsid w:val="00BC543C"/>
    <w:rsid w:val="00C07F88"/>
    <w:rsid w:val="00C101D1"/>
    <w:rsid w:val="00C553A2"/>
    <w:rsid w:val="00C74684"/>
    <w:rsid w:val="00C92621"/>
    <w:rsid w:val="00CA5215"/>
    <w:rsid w:val="00CE5136"/>
    <w:rsid w:val="00CE52F2"/>
    <w:rsid w:val="00D0501A"/>
    <w:rsid w:val="00D07FEF"/>
    <w:rsid w:val="00D17D55"/>
    <w:rsid w:val="00D22FD5"/>
    <w:rsid w:val="00D53812"/>
    <w:rsid w:val="00DC6430"/>
    <w:rsid w:val="00DF751F"/>
    <w:rsid w:val="00E215E6"/>
    <w:rsid w:val="00E23316"/>
    <w:rsid w:val="00E54F3E"/>
    <w:rsid w:val="00E67492"/>
    <w:rsid w:val="00E83B50"/>
    <w:rsid w:val="00EB581E"/>
    <w:rsid w:val="00F6190F"/>
    <w:rsid w:val="00FA0A77"/>
    <w:rsid w:val="00FC12DF"/>
    <w:rsid w:val="00FD5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6945"/>
  <w15:chartTrackingRefBased/>
  <w15:docId w15:val="{41C481E8-1CDF-4471-AD1A-9D91A72A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0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30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30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30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130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13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0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30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30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30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30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3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035"/>
    <w:rPr>
      <w:rFonts w:eastAsiaTheme="majorEastAsia" w:cstheme="majorBidi"/>
      <w:color w:val="272727" w:themeColor="text1" w:themeTint="D8"/>
    </w:rPr>
  </w:style>
  <w:style w:type="paragraph" w:styleId="Title">
    <w:name w:val="Title"/>
    <w:basedOn w:val="Normal"/>
    <w:next w:val="Normal"/>
    <w:link w:val="TitleChar"/>
    <w:uiPriority w:val="10"/>
    <w:qFormat/>
    <w:rsid w:val="00713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0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0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3035"/>
    <w:rPr>
      <w:i/>
      <w:iCs/>
      <w:color w:val="404040" w:themeColor="text1" w:themeTint="BF"/>
    </w:rPr>
  </w:style>
  <w:style w:type="paragraph" w:styleId="ListParagraph">
    <w:name w:val="List Paragraph"/>
    <w:basedOn w:val="Normal"/>
    <w:uiPriority w:val="34"/>
    <w:qFormat/>
    <w:rsid w:val="00713035"/>
    <w:pPr>
      <w:ind w:left="720"/>
      <w:contextualSpacing/>
    </w:pPr>
  </w:style>
  <w:style w:type="character" w:styleId="IntenseEmphasis">
    <w:name w:val="Intense Emphasis"/>
    <w:basedOn w:val="DefaultParagraphFont"/>
    <w:uiPriority w:val="21"/>
    <w:qFormat/>
    <w:rsid w:val="00713035"/>
    <w:rPr>
      <w:i/>
      <w:iCs/>
      <w:color w:val="365F91" w:themeColor="accent1" w:themeShade="BF"/>
    </w:rPr>
  </w:style>
  <w:style w:type="paragraph" w:styleId="IntenseQuote">
    <w:name w:val="Intense Quote"/>
    <w:basedOn w:val="Normal"/>
    <w:next w:val="Normal"/>
    <w:link w:val="IntenseQuoteChar"/>
    <w:uiPriority w:val="30"/>
    <w:qFormat/>
    <w:rsid w:val="007130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3035"/>
    <w:rPr>
      <w:i/>
      <w:iCs/>
      <w:color w:val="365F91" w:themeColor="accent1" w:themeShade="BF"/>
    </w:rPr>
  </w:style>
  <w:style w:type="character" w:styleId="IntenseReference">
    <w:name w:val="Intense Reference"/>
    <w:basedOn w:val="DefaultParagraphFont"/>
    <w:uiPriority w:val="32"/>
    <w:qFormat/>
    <w:rsid w:val="00713035"/>
    <w:rPr>
      <w:b/>
      <w:bCs/>
      <w:smallCaps/>
      <w:color w:val="365F91" w:themeColor="accent1" w:themeShade="BF"/>
      <w:spacing w:val="5"/>
    </w:rPr>
  </w:style>
  <w:style w:type="table" w:styleId="TableGrid">
    <w:name w:val="Table Grid"/>
    <w:basedOn w:val="TableNormal"/>
    <w:uiPriority w:val="59"/>
    <w:rsid w:val="00BB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3316"/>
    <w:rPr>
      <w:color w:val="0000FF" w:themeColor="hyperlink"/>
      <w:u w:val="single"/>
    </w:rPr>
  </w:style>
  <w:style w:type="character" w:styleId="UnresolvedMention">
    <w:name w:val="Unresolved Mention"/>
    <w:basedOn w:val="DefaultParagraphFont"/>
    <w:uiPriority w:val="99"/>
    <w:semiHidden/>
    <w:unhideWhenUsed/>
    <w:rsid w:val="00E23316"/>
    <w:rPr>
      <w:color w:val="605E5C"/>
      <w:shd w:val="clear" w:color="auto" w:fill="E1DFDD"/>
    </w:rPr>
  </w:style>
  <w:style w:type="character" w:styleId="FollowedHyperlink">
    <w:name w:val="FollowedHyperlink"/>
    <w:basedOn w:val="DefaultParagraphFont"/>
    <w:uiPriority w:val="99"/>
    <w:semiHidden/>
    <w:unhideWhenUsed/>
    <w:rsid w:val="00E233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onsult.co.uk/ai/blog/llm-file-format/" TargetMode="External"/><Relationship Id="rId5" Type="http://schemas.openxmlformats.org/officeDocument/2006/relationships/hyperlink" Target="https://www.archives.org.uk/ai-preparedness-guidelines-for-archivi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3726</TotalTime>
  <Pages>8</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Wilson</dc:creator>
  <cp:keywords/>
  <dc:description/>
  <cp:lastModifiedBy>Paul Wilson</cp:lastModifiedBy>
  <cp:revision>48</cp:revision>
  <dcterms:created xsi:type="dcterms:W3CDTF">2026-02-28T13:10:00Z</dcterms:created>
  <dcterms:modified xsi:type="dcterms:W3CDTF">2026-03-06T17:16:00Z</dcterms:modified>
</cp:coreProperties>
</file>