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center"/>
      </w:pPr>
      <w:r>
        <w:t xml:space="preserve">Significant Changes in Information Technology, 1978–2026</w:t>
      </w:r>
    </w:p>
    <w:p>
      <w:pPr>
        <w:spacing w:after="80"/>
        <w:jc w:val="center"/>
      </w:pPr>
      <w:r>
        <w:rPr>
          <w:i/>
          <w:iCs/>
          <w:sz w:val="26"/>
          <w:szCs w:val="26"/>
        </w:rPr>
        <w:t xml:space="preserve">An Overall Analysis of the PAWDOC Index and Associated Files</w:t>
      </w:r>
    </w:p>
    <w:p>
      <w:pPr>
        <w:spacing w:after="500"/>
        <w:jc w:val="center"/>
      </w:pPr>
      <w:r>
        <w:rPr>
          <w:i/>
          <w:iCs/>
          <w:sz w:val="22"/>
          <w:szCs w:val="22"/>
        </w:rPr>
        <w:t xml:space="preserve">Merged from Ten Independent Subset Reports (A–J) Covering the Whole Collection</w:t>
      </w:r>
    </w:p>
    <w:p>
      <w:pPr>
        <w:pStyle w:val="Heading1"/>
      </w:pPr>
      <w:r>
        <w:t xml:space="preserve">Introduction</w:t>
      </w:r>
    </w:p>
    <w:p>
      <w:pPr>
        <w:spacing w:after="160"/>
      </w:pPr>
      <w:r>
        <w:t xml:space="preserve">PAWDOC is a digitised personal-professional document collection built up by Paul Wilson, a computer professional, from 1981 (with some earlier material reaching back to the late 1970s) to the present day. It documents his work on Office Automation at the National Computing Centre (NCC) in Manchester (1981–1986), his subsequent 28-year career at CSC (Computer Sciences Corporation) as a consultant and bid manager, and his post-retirement investigations into digital collecting and preservation. By June 2026 the collection comprised some 31,300 digital files and an index of around 17,380 entries.</w:t>
      </w:r>
    </w:p>
    <w:p>
      <w:pPr>
        <w:spacing w:after="160"/>
      </w:pPr>
      <w:r>
        <w:t xml:space="preserve">This report merges ten independent AI-generated analyses (Subsets A–J), each examining a different portion of the PAWDOC Index and its associated digital file names, in response to the question: </w:t>
      </w:r>
      <w:r>
        <w:rPr>
          <w:i/>
          <w:iCs/>
        </w:rPr>
        <w:t xml:space="preserve">‘identify and describe the significant changes in Information Technology that occurred during the period covered by this part of the Index and its associated files, citing the Reference Numbers from which the information was obtained.’</w:t>
      </w:r>
      <w:r>
        <w:t xml:space="preserve"> Each subset report worked only from Index Titles, Reference Numbers and Publication/Creation dates (and the equivalent fields in the file names), without access to the underlying documents themselves.</w:t>
      </w:r>
    </w:p>
    <w:p>
      <w:pPr>
        <w:spacing w:after="160"/>
      </w:pPr>
      <w:r>
        <w:t xml:space="preserve">The ten subsets do not divide neatly into consecutive time periods: several cover overlapping years, and the collection itself is made up of multiple reference-number series (PAW-DOC, NCC-PROD, JP-DOC, PAW-SLI, RMC-DOC, PAW-INTER, PAW-JOC, PAW-CD, PAW-BACK and others) that were sampled differently across subsets. The approximate scope of each is as follows.</w:t>
      </w:r>
    </w:p>
    <w:p>
      <w:pPr>
        <w:pStyle w:val="ListParagraph"/>
        <w:numPr>
          <w:ilvl w:val="0"/>
          <w:numId w:val="2"/>
        </w:numPr>
        <w:spacing w:after="100"/>
      </w:pPr>
      <w:r>
        <w:rPr>
          <w:b/>
          <w:bCs/>
        </w:rPr>
        <w:t xml:space="preserve">Subset A </w:t>
      </w:r>
      <w:r>
        <w:t xml:space="preserve">— a cross-collection sample, 1978–2017, drawn from several reference series (NCC-PROD, JP-DOC, NCC-CJA, PAW-BIT, PAW-ACMCOM, PAW-CSCW, PAW-CD and others).</w:t>
      </w:r>
    </w:p>
    <w:p>
      <w:pPr>
        <w:pStyle w:val="ListParagraph"/>
        <w:numPr>
          <w:ilvl w:val="0"/>
          <w:numId w:val="2"/>
        </w:numPr>
        <w:spacing w:after="100"/>
      </w:pPr>
      <w:r>
        <w:rPr>
          <w:b/>
          <w:bCs/>
        </w:rPr>
        <w:t xml:space="preserve">Subset B </w:t>
      </w:r>
      <w:r>
        <w:t xml:space="preserve">— PAW-DOC-0001 to PAW-DOC-0748, c.1978–1988 (with the bulk in 1980–1986).</w:t>
      </w:r>
    </w:p>
    <w:p>
      <w:pPr>
        <w:pStyle w:val="ListParagraph"/>
        <w:numPr>
          <w:ilvl w:val="0"/>
          <w:numId w:val="2"/>
        </w:numPr>
        <w:spacing w:after="100"/>
      </w:pPr>
      <w:r>
        <w:rPr>
          <w:b/>
          <w:bCs/>
        </w:rPr>
        <w:t xml:space="preserve">Subset C </w:t>
      </w:r>
      <w:r>
        <w:t xml:space="preserve">— PAW-DOC entries (Index files 19–25), c.1981–1987 (densest in 1985–1987).</w:t>
      </w:r>
    </w:p>
    <w:p>
      <w:pPr>
        <w:pStyle w:val="ListParagraph"/>
        <w:numPr>
          <w:ilvl w:val="0"/>
          <w:numId w:val="2"/>
        </w:numPr>
        <w:spacing w:after="100"/>
      </w:pPr>
      <w:r>
        <w:rPr>
          <w:b/>
          <w:bCs/>
        </w:rPr>
        <w:t xml:space="preserve">Subset D </w:t>
      </w:r>
      <w:r>
        <w:t xml:space="preserve">— PAW-DOC-1647 to PAW-DOC-3660, c.1988–1991.</w:t>
      </w:r>
    </w:p>
    <w:p>
      <w:pPr>
        <w:pStyle w:val="ListParagraph"/>
        <w:numPr>
          <w:ilvl w:val="0"/>
          <w:numId w:val="2"/>
        </w:numPr>
        <w:spacing w:after="100"/>
      </w:pPr>
      <w:r>
        <w:rPr>
          <w:b/>
          <w:bCs/>
        </w:rPr>
        <w:t xml:space="preserve">Subset E </w:t>
      </w:r>
      <w:r>
        <w:t xml:space="preserve">— PAW-DOC-3661 to PAW-DOC-4775, c.1989–1994 (bulk 1991–1993).</w:t>
      </w:r>
    </w:p>
    <w:p>
      <w:pPr>
        <w:pStyle w:val="ListParagraph"/>
        <w:numPr>
          <w:ilvl w:val="0"/>
          <w:numId w:val="2"/>
        </w:numPr>
        <w:spacing w:after="100"/>
      </w:pPr>
      <w:r>
        <w:rPr>
          <w:b/>
          <w:bCs/>
        </w:rPr>
        <w:t xml:space="preserve">Subset F </w:t>
      </w:r>
      <w:r>
        <w:t xml:space="preserve">— PAW-DOC-4775 to PAW-DOC-5883, January 1994–December 1995.</w:t>
      </w:r>
    </w:p>
    <w:p>
      <w:pPr>
        <w:pStyle w:val="ListParagraph"/>
        <w:numPr>
          <w:ilvl w:val="0"/>
          <w:numId w:val="2"/>
        </w:numPr>
        <w:spacing w:after="100"/>
      </w:pPr>
      <w:r>
        <w:rPr>
          <w:b/>
          <w:bCs/>
        </w:rPr>
        <w:t xml:space="preserve">Subset G </w:t>
      </w:r>
      <w:r>
        <w:t xml:space="preserve">— PAW-DOC-5884 to PAW-DOC-6866, c.1995–early 1999.</w:t>
      </w:r>
    </w:p>
    <w:p>
      <w:pPr>
        <w:pStyle w:val="ListParagraph"/>
        <w:numPr>
          <w:ilvl w:val="0"/>
          <w:numId w:val="2"/>
        </w:numPr>
        <w:spacing w:after="100"/>
      </w:pPr>
      <w:r>
        <w:rPr>
          <w:b/>
          <w:bCs/>
        </w:rPr>
        <w:t xml:space="preserve">Subset H </w:t>
      </w:r>
      <w:r>
        <w:t xml:space="preserve">— PAW-DOC-6866 to PAW-DOC-7963, c.late 1998–mid 2002.</w:t>
      </w:r>
    </w:p>
    <w:p>
      <w:pPr>
        <w:pStyle w:val="ListParagraph"/>
        <w:numPr>
          <w:ilvl w:val="0"/>
          <w:numId w:val="2"/>
        </w:numPr>
        <w:spacing w:after="100"/>
      </w:pPr>
      <w:r>
        <w:rPr>
          <w:b/>
          <w:bCs/>
        </w:rPr>
        <w:t xml:space="preserve">Subset I </w:t>
      </w:r>
      <w:r>
        <w:t xml:space="preserve">— PAW-DOC-7963 to PAW-DOC-9082, 2002–2012.</w:t>
      </w:r>
    </w:p>
    <w:p>
      <w:pPr>
        <w:pStyle w:val="ListParagraph"/>
        <w:numPr>
          <w:ilvl w:val="0"/>
          <w:numId w:val="2"/>
        </w:numPr>
        <w:spacing w:after="100"/>
      </w:pPr>
      <w:r>
        <w:rPr>
          <w:b/>
          <w:bCs/>
        </w:rPr>
        <w:t xml:space="preserve">Subset J </w:t>
      </w:r>
      <w:r>
        <w:t xml:space="preserve">— a cross-collection sample including PAW-SLI, RMC-DOC, PAW-MACUK/MACTIM, PAW-INTER, PAW-JOC, PAW-DVD and PAW-DOC series, early 1980s to January 2026.</w:t>
      </w:r>
    </w:p>
    <w:p>
      <w:pPr>
        <w:spacing w:after="160"/>
      </w:pPr>
      <w:r>
        <w:t xml:space="preserve">Because of this overlap, the present report does not simply concatenate the ten subset reports. Instead it organises the evidence </w:t>
      </w:r>
      <w:r>
        <w:rPr>
          <w:b/>
          <w:bCs/>
        </w:rPr>
        <w:t xml:space="preserve">chronologically by technology theme</w:t>
      </w:r>
      <w:r>
        <w:t xml:space="preserve">, merging duplicate or overlapping coverage of the same development (for example, X.400 email standards, or the rise of the World Wide Web) into a single continuous account, with Reference Numbers drawn from whichever subset(s) documented that theme. Where subsets gave differing emphases or additional detail on the same topic, this has been combined rather than repeated. Reference Numbers are quoted in the form used in the PAWDOC Index (e.g. PAW-DOC-1234-01, NCC-PROD-M00021-7, PAW-SLI-0059-01).</w:t>
      </w:r>
    </w:p>
    <w:p>
      <w:pPr>
        <w:spacing w:after="160"/>
      </w:pPr>
      <w:r>
        <w:t xml:space="preserve">As with the underlying subset reports, this merged analysis is based solely on Index Titles, Reference Numbers and dates, and on the associated digital file names; the underlying PAWDOC documents themselves have not been read.</w:t>
      </w:r>
    </w:p>
    <w:p>
      <w:pPr>
        <w:pStyle w:val="Heading1"/>
      </w:pPr>
      <w:r>
        <w:t xml:space="preserve">1. The Office Automation Era and the Birth of the Electronic Office (c.1978–1986)</w:t>
      </w:r>
    </w:p>
    <w:p>
      <w:pPr>
        <w:spacing w:after="160"/>
      </w:pPr>
      <w:r>
        <w:t xml:space="preserve">The earliest material in the collection (NCC-PROD, JP-DOC, PAW-SLI and the first PAW-DOC entries) documents the first systematic wave of computerisation aimed not at back-office data processing but at managerial and professional office work — then called </w:t>
      </w:r>
      <w:r>
        <w:rPr>
          <w:b/>
          <w:bCs/>
        </w:rPr>
        <w:t xml:space="preserve">Office Automation (OA)</w:t>
      </w:r>
      <w:r>
        <w:t xml:space="preserve"> or Office Technology. PAW-DOC-0001-01, an edition of the </w:t>
      </w:r>
      <w:r>
        <w:rPr>
          <w:i/>
          <w:iCs/>
        </w:rPr>
        <w:t xml:space="preserve">EDP Analyser</w:t>
      </w:r>
      <w:r>
        <w:t xml:space="preserve"> on managerial workstations, is annotated by Wilson as “highly relevant to NCC’s OA team of which I was a part.” The Booz-Allen &amp; Hamilton managerial-productivity study (PAW-DOC-0001-02) and a long run of NCC strategy papers — “Four roads to OA,” “Selling office automation to top management” and “Developing a strategy for OA” (PAW-DOC-0023 cluster) — show OA being treated as an organisational transformation requiring planning and justification, not a mere technical upgrade. Slide sets from Wilson’s NCC lecturing classify the field into Document Preparation Systems, Electronic Message Systems, Information Management Systems and Decision Support Systems (PAW-SLI-0001-01, PAW-SLI-0011-01 to -0013-01).</w:t>
      </w:r>
    </w:p>
    <w:p>
      <w:pPr>
        <w:spacing w:after="160"/>
      </w:pPr>
      <w:r>
        <w:t xml:space="preserve">Whether OA would actually deliver benefits was contested from the outset: “Is OA the best thing you’ve ever seen? No” and “… Maybe” (PAW-DOC-0059-01/02), and the prescient 1982 article “The paperless office isn’t going to happen” (PAW-DOC-0061-02). A substantial NCC benefits-research project (PAW-DOC-0528, PAW-DOC-0340-01, PAW-DOC-0244-01) culminated in a published book on OA benefits. The Government took an active role in stimulating adoption: DOI finance for IT and OA pilot press releases (JP-DOC-0071-01, JP-DOC-0097-01), IT82 — Britain’s national IT awareness year (PAW-DOC-0007-01, PAW-DOC-0055) — and CCTA case studies of pilot schemes such as Cambridgeshire County Council (JP-DOC-0098-01).</w:t>
      </w:r>
    </w:p>
    <w:p>
      <w:pPr>
        <w:spacing w:after="160"/>
      </w:pPr>
      <w:r>
        <w:t xml:space="preserve">A wide range of competing multifunction OA products from this period is documented, including Wang’s Alliance and HP’s HPMAIL (NCC-PROD-M00039-6, -M00040-x), Data General CEO, DEC All-in-One, Datapoint IEOS and HP DeskManager (PAW-SLI-0120-01), Datapoint’s WP/message/communications package (NCC-PROD-M00025-0), and the Xerox Star and HP150 touch-screen system reviewed in </w:t>
      </w:r>
      <w:r>
        <w:rPr>
          <w:i/>
          <w:iCs/>
        </w:rPr>
        <w:t xml:space="preserve">Which Office System</w:t>
      </w:r>
      <w:r>
        <w:t xml:space="preserve"> magazine (PAW-WOS-Sep84-b, PAW-WOS-Jun84). Sustained national anxiety about Britain’s competitive IT position runs throughout: IT82 materials, successive NEDC reports on the UK electronics and IT industries (PAW-DOC-0091-02, PAW-DOC-0222-01/02), and press coverage of a widening UK IT trade deficit and the Japanese technology challenge (PAW-DOC-0002 cluster, PAW-DOC-0327-01).</w:t>
      </w:r>
    </w:p>
    <w:p>
      <w:pPr>
        <w:pStyle w:val="Heading1"/>
      </w:pPr>
      <w:r>
        <w:t xml:space="preserve">2. Teletex, Telex and Facsimile: The First Electronic Document Channels (1981–1987)</w:t>
      </w:r>
    </w:p>
    <w:p>
      <w:pPr>
        <w:spacing w:after="160"/>
      </w:pPr>
      <w:r>
        <w:t xml:space="preserve">Before electronic mail matured, the first electronic alternatives to the post were teletex, telex and fax. The Philips Teletex system (NCC-PROD-M00003-5, 1981) and the Philips DSX-40 message switch for Telex (NCC-PROD-M00047-6, 1981) were forerunners of email over proprietary and public networks; teletex’s growth in the UK continued to be tracked through the mid-1980s (PAW-DOC-0139-01, PAW-DOC-0687-01).</w:t>
      </w:r>
    </w:p>
    <w:p>
      <w:pPr>
        <w:spacing w:after="160"/>
      </w:pPr>
      <w:r>
        <w:t xml:space="preserve">Facsimile’s rapid commercial growth is exceptionally well documented: NCC-CJA-J34164-1 (1982) records fax’s entry into the computer age; PAW-DOC-0069 is an entire cluster of case studies, market predictions (Kevin Jagiello’s 1982 slides, later confirmed accurate by Wilson) and a BT fax directory; PAW-DOC-0526-01 is an NCC guide to evaluating mailbox and fax systems; and by the mid-1980s fax equipment surveys (PAW-DOC-0924-01) and articles on its legal status (PAW-DOC-1411-01, 1987) show the technology had become an unremarkable part of business life.</w:t>
      </w:r>
    </w:p>
    <w:p>
      <w:pPr>
        <w:pStyle w:val="Heading1"/>
      </w:pPr>
      <w:r>
        <w:t xml:space="preserve">3. Electronic Mail and Messaging Standards: From Experiment to Infrastructure (1980–1998)</w:t>
      </w:r>
    </w:p>
    <w:p>
      <w:pPr>
        <w:spacing w:after="160"/>
      </w:pPr>
      <w:r>
        <w:t xml:space="preserve">Electronic mail is the single most extensively documented technology in the whole collection, and the index allows its evolution to be traced in unusual detail across nearly two decades.</w:t>
      </w:r>
    </w:p>
    <w:p>
      <w:pPr>
        <w:pStyle w:val="Heading2"/>
      </w:pPr>
      <w:r>
        <w:t xml:space="preserve">3.1 Early systems and the EMS revolution (1980–1985)</w:t>
      </w:r>
    </w:p>
    <w:p>
      <w:pPr>
        <w:spacing w:after="160"/>
      </w:pPr>
      <w:r>
        <w:t xml:space="preserve">The earliest interest is recorded in PAW-DOC-0017 (“The EMS revolution,” “Why go to EMS?”, c.1980–1981) and Wilson’s own NCC project proposal for an EMS strategy study (PAW-DOC-0079, May 1980), which produced the NCC book </w:t>
      </w:r>
      <w:r>
        <w:rPr>
          <w:i/>
          <w:iCs/>
        </w:rPr>
        <w:t xml:space="preserve">Planning OA: EMS</w:t>
      </w:r>
      <w:r>
        <w:t xml:space="preserve">. Operational systems at named companies are documented in detail: DEC’s usage analysis (PAW-DOC-0087-18), Bell Northern Research’s “mail blossoms” (PAW-DOC-0087-17), Shell Canada (PAW-DOC-0087-11), the HOST system (PAW-DOC-0087-10, PAW-DOC-0199-01) and the Swedish COM conferencing system, reached through direct correspondence with Jacob Palme (PAW-DOC-0206 cluster). Wilson lectured widely on “The Electronic Mailbox” (PAW-SLI-0059-01 to -0131-01), including a cartoon of an “email link between home and office” (PAW-SLI-0064-01) that captures how novel the concept then was.</w:t>
      </w:r>
    </w:p>
    <w:p>
      <w:pPr>
        <w:spacing w:after="160"/>
      </w:pPr>
      <w:r>
        <w:t xml:space="preserve">Commercial mailbox services proliferated rapidly: Telecom Gold (PAW-DOC-0385, PAW-DOC-1072-01 on BT’s purchase of Dialcom), Easylink (PAW-DOC-0404-01), Mailtel for the Epson HX-20 (PAW-DOC-0363-01), and BT’s Hicom service opening in 1988 (PAW-BIT-Apr88-215). By 1985–1986, market surveys quantify a maturing industry: 100 companies using email (PAW-DOC-0944-01), summary product lists (PAW-DOC-0912-01, PAW-DOC-0936-01), and US subscriber statistics (PAW-DOC-1486-01, 1987). Social and behavioural side-effects appear remarkably early: a </w:t>
      </w:r>
      <w:r>
        <w:rPr>
          <w:i/>
          <w:iCs/>
        </w:rPr>
        <w:t xml:space="preserve">New York Times</w:t>
      </w:r>
      <w:r>
        <w:t xml:space="preserve"> piece on “mailbox flaming” (PAW-DOC-0952-01, 1984) and Hiltz/Turoff on avoiding information overload (PAW-DOC-0828-01, 1985) anticipate problems that would recur for decades.</w:t>
      </w:r>
    </w:p>
    <w:p>
      <w:pPr>
        <w:pStyle w:val="Heading2"/>
      </w:pPr>
      <w:r>
        <w:t xml:space="preserve">3.2 X.400, X.500 and the standards battle (1982–1998)</w:t>
      </w:r>
    </w:p>
    <w:p>
      <w:pPr>
        <w:spacing w:after="160"/>
      </w:pPr>
      <w:r>
        <w:t xml:space="preserve">From 1982 Wilson was directly engaged in UK government investigation of messaging standards: the DOI/Logica Intercept study (PAW-DOC-0209 cluster, 1982–1985) tracked the evolving CCITT </w:t>
      </w:r>
      <w:r>
        <w:rPr>
          <w:b/>
          <w:bCs/>
        </w:rPr>
        <w:t xml:space="preserve">X.400</w:t>
      </w:r>
      <w:r>
        <w:t xml:space="preserve"> message-handling standard, with the CCITT X.MHS “red book” (PAW-DOC-0239-01) and Implementor’s Guide (PAW-DOC-0239-02) held in the collection. The ITUSA (IT Users Standards Association) X.400 User Test Programme, in which Wilson was directly involved from 1988, generated an extraordinary real-time documentary trail in the RMC-DOC series — minutes, installation notes for the M400/Sydcom Messenger 400 product, GOSIP conformance testing and ODA/EDI work (RMC-DOC-0027 to -0113) — as well as the ITUSA Document Interchange Group’s own file series (PAW-DOC-1104-xx, 1986–1987) and NCC management guideline No.103 on X.400 (PAW-DOC-1275-02).</w:t>
      </w:r>
    </w:p>
    <w:p>
      <w:pPr>
        <w:spacing w:after="160"/>
      </w:pPr>
      <w:r>
        <w:t xml:space="preserve">By the early 1990s X.400 was being deployed in earnest inside large organisations: at the Inland Revenue, TAS architectural-requirement documents define O/R address structures and the X.500 directory schema for the IRON (Inland Revenue Office Network) system (PAW-DOC-4935-01, PAW-DOC-5213-01/02/03 — TAS 274; PAW-DOC-5035-02 — TAS 290; PAW-DOC-5343-01/02/03 — TAS 321; PAW-DOC-5604-01 — TAS 319, the Email Hub). The EEMA (European Electronic Messaging Association) newsletter is a recurring, almost quarterly, source from 1991 onwards, tracking statistics, security (PEM, PGP, X.509), mail-API standards (VIM, MAPI, OCE) and, increasingly, the Internet as a rival channel (PAW-DOC-3677-01/02, PAW-DOC-3902-01, PAW-DOC-3986-04/05, PAW-DOC-4857 series, PAW-DOC-5075 series, PAW-DOC-5810-01).</w:t>
      </w:r>
    </w:p>
    <w:p>
      <w:pPr>
        <w:spacing w:after="160"/>
      </w:pPr>
      <w:r>
        <w:t xml:space="preserve">The competitive landscape of the mid-1990s pitted X.400/X.500 standards-based products against Microsoft’s proprietary platform. Comparisons of Boldon James Enterprise Mail, Microsoft Mail, the emerging </w:t>
      </w:r>
      <w:r>
        <w:rPr>
          <w:b/>
          <w:bCs/>
        </w:rPr>
        <w:t xml:space="preserve">Microsoft Exchange</w:t>
      </w:r>
      <w:r>
        <w:t xml:space="preserve"> (codenamed “Touchdown”), Lotus cc:Mail and HP OpenMail recur throughout (PAW-DOC-5201-01, PAW-DOC-5289-01, PAW-DOC-5430 series, PAW-DOC-5678-01). The Inland Revenue’s own East Email Pilot — a real-world departmental rollout — is documented through to its eventual cancellation (PAW-DOC-5470-01, PAW-DOC-5661-01, PAW-DOC-5737-01), illustrating the practical difficulty of deploying enterprise email even once the technology was mature. By 1996–1998, Microsoft Exchange had become the pivotal bridge product between proprietary mail and the internet (PAW-DOC-5996, PAW-DOC-5997, PAW-DOC-6052, PAW-DOC-6149), and internet protocols themselves were the subject of tutorials — MIME (PAW-DOC-6403) and IMAP (PAW-DOC-6417) — while LDAP began re-exposing X.500 directories through web pages (PAW-DOC-6274). By 1998 a CSC newsletter could report mature statistics on “the use and abuse of internet mail” and the integration of internet and intranet mail (PAW-DOC-6589), marking the effective conclusion of the X.400-versus-internet contest in the internet’s favour.</w:t>
      </w:r>
    </w:p>
    <w:p>
      <w:pPr>
        <w:spacing w:after="160"/>
      </w:pPr>
      <w:r>
        <w:t xml:space="preserve">Email’s social cost became a permanent feature of working life rather than a passing curiosity: a 1999 </w:t>
      </w:r>
      <w:r>
        <w:rPr>
          <w:i/>
          <w:iCs/>
        </w:rPr>
        <w:t xml:space="preserve">Guardian</w:t>
      </w:r>
      <w:r>
        <w:t xml:space="preserve"> piece on information overload from email and the web (PAW-DOC-6920-01), an </w:t>
      </w:r>
      <w:r>
        <w:rPr>
          <w:i/>
          <w:iCs/>
        </w:rPr>
        <w:t xml:space="preserve">Observer</w:t>
      </w:r>
      <w:r>
        <w:t xml:space="preserve"> “tidal wave of email” (PAW-DOC-7091-01), Newsweek’s “infoglut” (PAW-DOC-7636-02), and an internal CSC survey on unwanted and duplicate email (PAW-DOC-7823-01) lead by 2002 to an </w:t>
      </w:r>
      <w:r>
        <w:rPr>
          <w:i/>
          <w:iCs/>
        </w:rPr>
        <w:t xml:space="preserve">Observer</w:t>
      </w:r>
      <w:r>
        <w:t xml:space="preserve"> piece on “the tyranny of email” (PAW-DOC-7931-01). A unique longitudinal study co-authored by Wilson and Tom Jackson directly compared his own 1981 and 2011 communications patterns, providing quantitative evidence of the medium’s transformation (PAW-DOC-9168-01 to -05). By 2007–2010 cultural attitudes were visibly shifting again, with younger workers regarding email as “for old people” in favour of social media (PAW-DOC-8858-01, PAW-DOC-9012-01, PAW-DOC-9022-01 noting the rise of Yammer as an internal alternative), while a 2018 article on the unexpected “re-rise of voicemail” (PAW-DOC-9200-01) shows the trajectory was not strictly linear.</w:t>
      </w:r>
    </w:p>
    <w:p>
      <w:pPr>
        <w:pStyle w:val="Heading1"/>
      </w:pPr>
      <w:r>
        <w:t xml:space="preserve">4. Viewdata, Videotex and Early Consumer Online Services (1979–1986)</w:t>
      </w:r>
    </w:p>
    <w:p>
      <w:pPr>
        <w:spacing w:after="160"/>
      </w:pPr>
      <w:r>
        <w:t xml:space="preserve">The UK’s Prestel viewdata system and the wider international videotex movement reflected hopes that adapted televisions could deliver mass-market interactive information. Wilson’s own 1979 NCC report “Viewdata: opportunities for NCC” (PAW-DOC-0173-04) and a related project (PAW-DOC-0527-01) sit alongside coverage of viewdata’s legal implications and Canadian Telidon (PAW-DOC-0085), and France’s Minitel/Télétel system, which Wilson noted in 1985 as “ground breaking and … subsequently successful” (PAW-DOC-0016-02). By contrast, “Was viewdata really a wonderful idea?” (PAW-DOC-0096-01) and a Homelink brochure featuring an early auction service — noted by Wilson as “a precursor of eBay!” (PAW-DOC-0305-01) — capture both disillusionment and prescience within the same technology thread. Micronet 800 (PAW-DOC-0335-01) and continued French progress (PAW-DOC-0658-01) round out the coverage into the mid-1980s.</w:t>
      </w:r>
    </w:p>
    <w:p>
      <w:pPr>
        <w:pStyle w:val="Heading1"/>
      </w:pPr>
      <w:r>
        <w:t xml:space="preserve">5. Word Processing, Personal Computers and the Macintosh (1980–1992)</w:t>
      </w:r>
    </w:p>
    <w:p>
      <w:pPr>
        <w:pStyle w:val="Heading2"/>
      </w:pPr>
      <w:r>
        <w:t xml:space="preserve">5.1 Word processing as the first office productivity tool</w:t>
      </w:r>
    </w:p>
    <w:p>
      <w:pPr>
        <w:spacing w:after="160"/>
      </w:pPr>
      <w:r>
        <w:t xml:space="preserve">Word processing (WP) was the first technology widely adopted by office workers. PAW-DOC-0063 documents this from a 1980 training report describing the DP department as “the home of the dinosaur” (PAW-DOC-0063-04) through “Why hasn’t word processing worked better?” (PAW-DOC-0063-05, 1981) to equipment-selection articles (PAW-DOC-0063-07, 1983). NCC-CJA-J34240-8 (1982) covers spelling checkers. The shift from dedicated WP machines to PC-based software is tracked through market surveys (PAW-DOC-0450-01/02, 1984) and CSC’s 1985 evaluation of the Inland Revenue’s Philips Maestro system (PAW-DOC-0696 cluster); by 1985 word processing had become commodity technology, the subject of a routine overview article rather than an innovation (PAW-DOC-0630-01).</w:t>
      </w:r>
    </w:p>
    <w:p>
      <w:pPr>
        <w:pStyle w:val="Heading2"/>
      </w:pPr>
      <w:r>
        <w:t xml:space="preserve">5.2 The rise of the personal computer (1981–1992)</w:t>
      </w:r>
    </w:p>
    <w:p>
      <w:pPr>
        <w:spacing w:after="160"/>
      </w:pPr>
      <w:r>
        <w:t xml:space="preserve">The transition from mainframes and minicomputers to desk-based PCs runs throughout the early subsets. PAW-DOC-0141-01 (1982) is a human-factors case study of the IBM PC; the Sinclair QL appears in PAW-DOC-0317-01 (1984); and a wave of comparative PC surveys (PAW-DOC-0449-01, -0499-01, -0586-01, -0652-01, -0716-01) reflects the rapidly expanding and confusing IBM-compatible marketplace. The aspiration toward a single multifunction workstation — combining WP, spreadsheet and email — is documented through the competitive battle among Rank Xerox, PERQ, Apollo and ICL (PAW-DOC-0094 cluster, 1981) and a 1983 bench test of DEC, IBM, Wang and ICL machines (PAW-DOC-0258-01).</w:t>
      </w:r>
    </w:p>
    <w:p>
      <w:pPr>
        <w:spacing w:after="160"/>
      </w:pPr>
      <w:r>
        <w:t xml:space="preserve">By the mid-1980s PC adoption required active management: surveys of corporate PC usage and policy (PAW-DOC-0839-01, PAW-DOC-0891-01, PAW-DOC-1099-01, 1985), articles on cheap computers disrupting IBM’s market position (PAW-DOC-1074-01, 1986), and dedicated micro support centres (PAW-DOC-0837-01). IBM’s 1987 response to the clone market, the PS/2, is recorded in PAW-DOC-1366-01. The Apple Macintosh’s graphical interface made a particularly strong impression: “Feelings on using the Macintosh guided tour” (PAW-DOC-1175-01, 1986) is noted in the index commentary as “an interesting reflection of the impact that the Mac had on the PC scene,” and the platform attracted its own user-group culture, magazines (</w:t>
      </w:r>
      <w:r>
        <w:rPr>
          <w:i/>
          <w:iCs/>
        </w:rPr>
        <w:t xml:space="preserve">MacUser UK</w:t>
      </w:r>
      <w:r>
        <w:t xml:space="preserve">) and dedicated peripheral and software ecosystem (PAW-DOC-1261-01, PAW-DOC-1430-01, and the extensive </w:t>
      </w:r>
      <w:r>
        <w:rPr>
          <w:i/>
          <w:iCs/>
        </w:rPr>
        <w:t xml:space="preserve">MacTimes</w:t>
      </w:r>
      <w:r>
        <w:t xml:space="preserve">/</w:t>
      </w:r>
      <w:r>
        <w:rPr>
          <w:i/>
          <w:iCs/>
        </w:rPr>
        <w:t xml:space="preserve">MacUser</w:t>
      </w:r>
      <w:r>
        <w:t xml:space="preserve"> series PAW-MACUK/PAW-MACTIM, 1988–1992, covering Word, Excel, file formats, PostScript, the Timbuktu remote-desktop tool, and the System 7 launch). By 1989, PAW-DOC-1998-01 lists the author’s entire Macintosh software collection, and early Mac viruses are already being reported (PAW-DOC-3002-02, 1989) — an early sign that democratised computing was bringing new security threats. Parallel research computing ran on Sun workstations (the Sun 386i, NCC-PROD onward through PAW-DOC-1665-01, -1679-01, -1684-01), which hosted the Cosmos groupware project (see Section 10).</w:t>
      </w:r>
    </w:p>
    <w:p>
      <w:pPr>
        <w:pStyle w:val="Heading1"/>
      </w:pPr>
      <w:r>
        <w:t xml:space="preserve">6. Optical and Videodisc Storage (1981–1998)</w:t>
      </w:r>
    </w:p>
    <w:p>
      <w:pPr>
        <w:spacing w:after="160"/>
      </w:pPr>
      <w:r>
        <w:t xml:space="preserve">Optical and videodisc storage was seriously explored as a mass-document-storage medium well before CD-ROM became dominant. NCC-PROD-M00021-7 (1981) observes that “optical discs loom as replacement for tape”; the Philips video disc factory in Blackburn (NCC-PROD-M00037-4) and the Philips Megadoc videodisc document-management system (JP-DOC-0112-01, PAW-WOS-Sep84-d) are documented through the early-to-mid 1980s, alongside Matsushita’s erasable video discs (PAW-DOC-0224-01, 1983) and Reference Technology Inc’s CLASIX system (PAW-DOC-0780-01, 1985).</w:t>
      </w:r>
    </w:p>
    <w:p>
      <w:pPr>
        <w:spacing w:after="160"/>
      </w:pPr>
      <w:r>
        <w:t xml:space="preserve">CD-ROM emerges as the dominant successor from the mid-1980s: Oxford University Press’s move to electronic publishing (PAW-DOC-1022-01, 1986), the landmark BBC Domesday videodisc project (PAW-DOC-1302-01, 1987), and the CCTA and NCC Document Image Processing initiatives (PAW-DOC-1588-01, -1590-01, -1512-01, 1987). By 1991 PAW-BKS-005-01 records a conference covering “Intro to CD-ROM, virtual reality, … Xanadu” — showing CD-ROM had become an established distribution medium. The SIGCAT meetings (PAW-DOC-2061 series, 1989–1990) track organisational adoption including the US Patent Office library, and by the mid-1990s a design document for introducing CD-ROM servers into the Inland Revenue’s IRON system (PAW-DOC-4679-01/02, 1993) shows the technology embedded in mainstream enterprise infrastructure. Magneto-optical storage, used for re-writable high-capacity imaging archives, is documented into the late 1990s (PAW-DOC-6453, PAW-DOC-6541, PAW-DOC-6588 — the last recording file-corruption problems, a candid reminder of contemporary reliability risks).</w:t>
      </w:r>
    </w:p>
    <w:p>
      <w:pPr>
        <w:pStyle w:val="Heading1"/>
      </w:pPr>
      <w:r>
        <w:t xml:space="preserve">7. VDU Ergonomics, Human–Computer Interaction and the Path to User Experience (1977–2015)</w:t>
      </w:r>
    </w:p>
    <w:p>
      <w:pPr>
        <w:spacing w:after="160"/>
      </w:pPr>
      <w:r>
        <w:t xml:space="preserve">One of the most sustained threads in the whole collection traces the evolution of the human interface to computers, from concerns about physical health to a mature User Experience (UX) discipline.</w:t>
      </w:r>
    </w:p>
    <w:p>
      <w:pPr>
        <w:spacing w:after="160"/>
      </w:pPr>
      <w:r>
        <w:t xml:space="preserve">VDU health and ergonomics dominate the earliest material: NCC-PROD-M00007-9 (1981, “Colour graphics — the shape of things to come… VDUs”), Brian Shackel’s 1977 introduction to man-computer interaction (PAW-DOC-0153-01), a 1979 literature review of human factors (PAW-DOC-0033-01), recommendations for VDU operators (PAW-BIT-Sep85-229), visual discomfort research (PAW-BIT-Jun85-131), and Swedish VDU standards (PAW-BIT-Jan86-71). The Health &amp; Safety Executive’s 1983 VDU report (PAW-DOC-0293) and 1985 articles connecting VDU work to abnormal pregnancies (PAW-DOC-0671) show the seriousness with which this was treated. The National Electronics Council Human Factors Working Party, which Wilson served on, produced a significant report (PAW-DOC-0057-21).</w:t>
      </w:r>
    </w:p>
    <w:p>
      <w:pPr>
        <w:spacing w:after="160"/>
      </w:pPr>
      <w:r>
        <w:t xml:space="preserve">HCI emerged as a formal discipline through the 1980s: the IFIP Interact 84 conference proceedings (PAW-BIGBKS-014), HCI’87 (PAW-BKS-004-01), and the Alvey Programme’s Man-Machine Interface (MMI) strand, in which Wilson served on the Ergonomics Society Alvey Working Group (PAW-DOC-0210, 1983–1989) and the Alvey/professional-body HCI Liaison Group (PAW-DOC-0210-14). By the early 1990s, graphical interfaces were measurably improving productivity — experts using a GUI took 51% less time than with a conventional interface (PAW-BIT-Jul-227, 1992) — and HCI was professionalising within industry: UMIST’s HIMS usability tools (PAW-DOC-1774-01/02, 1988), the Loughborough HUSAT service (PAW-DOC-1788-01), and the DTI’s Usability Now programme bringing HCI methods into industrial practice from 1990 (PAW-DOC-3491 series).</w:t>
      </w:r>
    </w:p>
    <w:p>
      <w:pPr>
        <w:spacing w:after="160"/>
      </w:pPr>
      <w:r>
        <w:t xml:space="preserve">A landmark special issue of </w:t>
      </w:r>
      <w:r>
        <w:rPr>
          <w:i/>
          <w:iCs/>
        </w:rPr>
        <w:t xml:space="preserve">Behaviour &amp; Information Technology</w:t>
      </w:r>
      <w:r>
        <w:t xml:space="preserve"> on Usability Labs (PAW-BIT-Jan94 series, with entries spanning IBM, Microsoft, Sun, BT, Bellcore, Symantec and Taligent) marks usability’s arrival as a formal corporate function, reinforced by a 1995 review of Jacob Nielsen’s </w:t>
      </w:r>
      <w:r>
        <w:rPr>
          <w:i/>
          <w:iCs/>
        </w:rPr>
        <w:t xml:space="preserve">Usability Engineering</w:t>
      </w:r>
      <w:r>
        <w:t xml:space="preserve"> (PAW-CHI-Apr95-77). At the Inland Revenue, Wilson personally drove HCI into large-scale government IT, producing a formal GUI Style Guide (work plans from 1991, final version 1.0 published August 1993, PAW-DOC-4559-01), with usability testing later applied even to CSC’s own internal consulting methodology documents (PAW-DOC-3277-01, 1990). By the mid-2000s the field’s vocabulary had shifted decisively to “user experience” — a 2006 article calling it “an excellent introduction to the very important special issue on User Experience” (PAW-BIT-Apr06-25-2-91), and a 2015 piece explicitly tracing the terminology “from MMI to HCI to Usability to User Experience” (PAW-BIT-2014-33-5-423, PAW-BIT-Oct15-34-10-945, the latter explaining why ISO 9241-210 adopted the term).</w:t>
      </w:r>
    </w:p>
    <w:p>
      <w:pPr>
        <w:pStyle w:val="Heading1"/>
      </w:pPr>
      <w:r>
        <w:t xml:space="preserve">8. Networking: From LANs to Client–Server, OSI and the Internet Backbone (1981–1998)</w:t>
      </w:r>
    </w:p>
    <w:p>
      <w:pPr>
        <w:spacing w:after="160"/>
      </w:pPr>
      <w:r>
        <w:t xml:space="preserve">The move from centralised, leased-line computing to distributed networked computing is one of the longest-running threads in the collection.</w:t>
      </w:r>
    </w:p>
    <w:p>
      <w:pPr>
        <w:pStyle w:val="Heading2"/>
      </w:pPr>
      <w:r>
        <w:t xml:space="preserve">8.1 Early LANs and value-added networks (1981–1988)</w:t>
      </w:r>
    </w:p>
    <w:p>
      <w:pPr>
        <w:spacing w:after="160"/>
      </w:pPr>
      <w:r>
        <w:t xml:space="preserve">Apollo’s DOMAIN LAN — one of the first commercial local area networks — is documented from 1981 (NCC-PROD-M00022-8), alongside the ECMA Local Network Standards agreement (Ethernet, PAW-DOC-0134-01, 1982) and the Rank Xerox 8000 network system (PAW-DOC-0144-02). Cabling and physical infrastructure receive dedicated attention (PAW-DOC-0531-01, 1984), as do market surveys of LAN products (PAW-DOC-0437-01) and BP’s use of the Xibus/Xionics network (PAW-DOC-0195-01). IP Sharpe’s time-sharing network (NCC-PROD-M00057-8, 1982) represents the older centralised-computing model these LANs were beginning to displace.</w:t>
      </w:r>
    </w:p>
    <w:p>
      <w:pPr>
        <w:pStyle w:val="Heading2"/>
      </w:pPr>
      <w:r>
        <w:t xml:space="preserve">8.2 OSI, GOSIP and the open-systems standards battle (1986–1990)</w:t>
      </w:r>
    </w:p>
    <w:p>
      <w:pPr>
        <w:spacing w:after="160"/>
      </w:pPr>
      <w:r>
        <w:t xml:space="preserve">The drive towards vendor-independent interoperability through </w:t>
      </w:r>
      <w:r>
        <w:rPr>
          <w:b/>
          <w:bCs/>
        </w:rPr>
        <w:t xml:space="preserve">OSI (Open Systems Interconnection)</w:t>
      </w:r>
      <w:r>
        <w:t xml:space="preserve"> and its UK government implementation </w:t>
      </w:r>
      <w:r>
        <w:rPr>
          <w:b/>
          <w:bCs/>
        </w:rPr>
        <w:t xml:space="preserve">GOSIP (Government OSI Profile)</w:t>
      </w:r>
      <w:r>
        <w:t xml:space="preserve"> was a defining policy issue: a BSI list of OSI standards (PAW-DOC-1112-01, 1986), the Birmingham MAP demonstration (PAW-DOC-1280-01), a dedicated </w:t>
      </w:r>
      <w:r>
        <w:rPr>
          <w:i/>
          <w:iCs/>
        </w:rPr>
        <w:t xml:space="preserve">Open Systems Newsletter</w:t>
      </w:r>
      <w:r>
        <w:t xml:space="preserve"> launched in 1987 (PAW-DOC-1360-01), CCTA’s GOSIP profile working papers (PAW-DOC-1317-01/02), and an EEC directive requiring public procurers to buy OSI products (PAW-DOC-1689-03, 1988). The OSI seven-layer model itself is explained through a memorable analogy about Danish and Swedish professors trying to communicate (PAW-DOC-1705-01). The X.500 directory standard, for looking up addresses across networks, appears from 1989 (PAW-DOC-3042-01, PAW-DOC-3218-01 — a US national X.500 directory initiative).</w:t>
      </w:r>
    </w:p>
    <w:p>
      <w:pPr>
        <w:pStyle w:val="Heading2"/>
      </w:pPr>
      <w:r>
        <w:t xml:space="preserve">8.3 Unix standardisation and the GUI wars (1988–1992)</w:t>
      </w:r>
    </w:p>
    <w:p>
      <w:pPr>
        <w:spacing w:after="160"/>
      </w:pPr>
      <w:r>
        <w:t xml:space="preserve">From 1988 the index tracks intense competition over Unix standardisation: “Unix, its background and work being done to standardise it — Posix, X-Open” (PAW-DOC-1719-01); Unisys’s standardisation stance (PAW-DOC-1729-01); and corporate decision-makers’ opinions on Unix (PAW-DOC-1740-01). POSIX itself is explained in PAW-DOC-2047-01 (1989) and linked to converting DOS LANs to Unix (PAW-DOC-3038-01). The graphical-interface battle for Unix workstations centred on X-Windows (X11) versus OSF Motif and Open Look (PAW-DOC-2011-01, -2021-01, -2087-02), while DOS machines faced their own GUI question over Windows and IBM’s Presentation Manager (PAW-DOC-3048-01, PAW-DOC-1982-01). By 1992 the Unix desktop war had moved to UnixWare, Solaris 2.0 and Open Desktop 2.0 (PAW-DOC-4011-69), and the ACE consortium’s broader “battle of the operating systems and GUIs” was making mainstream news (PAW-DOC-3923-01).</w:t>
      </w:r>
    </w:p>
    <w:p>
      <w:pPr>
        <w:pStyle w:val="Heading2"/>
      </w:pPr>
      <w:r>
        <w:t xml:space="preserve">8.4 Client–server computing and the network-computer debate (1990–1998)</w:t>
      </w:r>
    </w:p>
    <w:p>
      <w:pPr>
        <w:spacing w:after="160"/>
      </w:pPr>
      <w:r>
        <w:t xml:space="preserve">Client–server architecture — distributing computing between server machines and desktop clients — became the dominant paradigm of the 1990s. An Intel spokesperson’s prediction (PAW-DOC-3503-01, 1990) that “enriched email” would drive client/server acceptance by the mid-1990s proved remarkably accurate. Comprehensive explanatory articles (PAW-DOC-4139-01, covering X-Windows, NetBIOS, SQL, IPX, Named Pipes and ONC) and Leading Edge Forum technology reports (PAW-DOC-4142-02) tracked the shift through the early 1990s, while a 1998 survey (PAW-ACMCOM-May98-87) and the observation that “things in the computer industry keep re-emerging in different ways” (PAW-ACMCOM-May98-17) show the model maturing into orthodoxy by the end of the decade.</w:t>
      </w:r>
    </w:p>
    <w:p>
      <w:pPr>
        <w:spacing w:after="160"/>
      </w:pPr>
      <w:r>
        <w:t xml:space="preserve">The practical difficulties of client/server were equally well documented: middleware and legacy-system integration (PAW-DOC-5948-01, covering DCE, distributed transaction processing and message-oriented middleware), and the emergence of </w:t>
      </w:r>
      <w:r>
        <w:rPr>
          <w:b/>
          <w:bCs/>
        </w:rPr>
        <w:t xml:space="preserve">Total Cost of Ownership (TCO)</w:t>
      </w:r>
      <w:r>
        <w:t xml:space="preserve"> as a counter-argument for thin clients and the </w:t>
      </w:r>
      <w:r>
        <w:rPr>
          <w:b/>
          <w:bCs/>
        </w:rPr>
        <w:t xml:space="preserve">network computer (NC)</w:t>
      </w:r>
      <w:r>
        <w:t xml:space="preserve"> (PAW-DOC-6419, PAW-DOC-6465, PAW-DOC-6479, PAW-DOC-6481). By 1997 “web-enabled” had become the watchword: client/server was not abandoned but re-expressed through browser-based front ends (PAW-DOC-6548). ATM (Asynchronous Transfer Mode) networking, comprehensively surveyed in PAW-ACMCOM-Feb95-29 and tracked through several Inland Revenue architectural requirements for SMDS (PAW-DOC-5528-01/02, PAW-DOC-5584-01) and radio ATM research (PAW-DOC-5671-02), was positioned as the future of both local and wide-area networking but was ultimately displaced by IP-based alternatives.</w:t>
      </w:r>
    </w:p>
    <w:p>
      <w:pPr>
        <w:pStyle w:val="Heading1"/>
      </w:pPr>
      <w:r>
        <w:t xml:space="preserve">9. ISDN, Cellular Radio and the Convergence of Voice and Data (1980–2001)</w:t>
      </w:r>
    </w:p>
    <w:p>
      <w:pPr>
        <w:spacing w:after="160"/>
      </w:pPr>
      <w:r>
        <w:t xml:space="preserve">Telecommunications convergence with computing — then often called “telematics” — runs throughout the collection. BT’s liberalisation and the private-network licensing regime (PAW-DOC-0073, 1980–1982) and the digital PABX, integrating voice and data within offices, are documented through a digital switch survey (PAW-DOC-0129-01, 1982), Bell Northern’s integrated SL-1 PABX (PAW-DOC-0546-01, 1984), and articles on “obstacles to integrating voice and data on a PABX” (PAW-DOC-0739-01, 1985).</w:t>
      </w:r>
    </w:p>
    <w:p>
      <w:pPr>
        <w:spacing w:after="160"/>
      </w:pPr>
      <w:r>
        <w:t xml:space="preserve">Cellular radio is tracked from its first UK appearance: an overview of mobile telephony (PAW-DOC-0579-01, Jan 1985), the UK cellular radio status report (PAW-DOC-0734-01/02), and Cellnet coverage (PAW-DOC-1351-01, 1987). </w:t>
      </w:r>
      <w:r>
        <w:rPr>
          <w:b/>
          <w:bCs/>
        </w:rPr>
        <w:t xml:space="preserve">ISDN (Integrated Services Digital Network)</w:t>
      </w:r>
      <w:r>
        <w:t xml:space="preserve"> — BT’s digital network carrying voice and data on a single line — was a major mid-to-late-1980s development: ITUSA letters explaining its relevance (PAW-DOC-1968-02/03, 1989), BT’s announcement of a 1990 ISDN service (PAW-DOC-3075-01), forecasts for France, Germany and the UK (PAW-DOC-3216-01), and an article on the effect of ISDN on network strategy (PAW-DOC-1532-01, 1987). ISDN’s importance for desktop videoconferencing and groupware (see Section 11) made it a recurring theme through the early 1990s, including the Highlands teleworking project (PAW-DOC-3685-01, 1991).</w:t>
      </w:r>
    </w:p>
    <w:p>
      <w:pPr>
        <w:spacing w:after="160"/>
      </w:pPr>
      <w:r>
        <w:t xml:space="preserve">By the 2000s, broadband and VPN technology had displaced dedicated WAN links: Budget Rent-a-Car’s replacement of a BT-managed WAN with an internet VPN (PAW-DOC-7605-01, PAW-DOC-7643-01 to -03, 2001), BT’s Openworld broadband service (PAW-DOC-7543-01, 2001), and a PC Magazine VPN guide (PAW-DOC-7533-01) reflecting the technology’s mainstreaming, alongside the bankruptcy of an early internet provider, Breathe (PAW-DOC-7462-01) — a reminder of the volatility of the dot-com-era telecoms market.</w:t>
      </w:r>
    </w:p>
    <w:p>
      <w:pPr>
        <w:pStyle w:val="Heading1"/>
      </w:pPr>
      <w:r>
        <w:t xml:space="preserve">10. Computer-Supported Cooperative Work, Groupware and Lotus Notes (1985–2002)</w:t>
      </w:r>
    </w:p>
    <w:p>
      <w:pPr>
        <w:spacing w:after="160"/>
      </w:pPr>
      <w:r>
        <w:t xml:space="preserve">CSCW (Computer-Supported Cooperative Work) was Wilson’s own professional specialism and forms one of the densest and best-documented threads across every subset of the collection.</w:t>
      </w:r>
    </w:p>
    <w:p>
      <w:pPr>
        <w:pStyle w:val="Heading2"/>
      </w:pPr>
      <w:r>
        <w:t xml:space="preserve">10.1 The birth of a discipline (1985–1988)</w:t>
      </w:r>
    </w:p>
    <w:p>
      <w:pPr>
        <w:spacing w:after="160"/>
      </w:pPr>
      <w:r>
        <w:t xml:space="preserve">The founding CSCW conference — Austin, Texas, December 1986 — is directly documented (PAW-DOC-1248-01, and Cosmos report No.20 reviewing the conference, PAW-DOC-1270-C20/PAW-DOC-1273-01). The structured-messaging research programme that preceded it ran through the Alvey-funded </w:t>
      </w:r>
      <w:r>
        <w:rPr>
          <w:b/>
          <w:bCs/>
        </w:rPr>
        <w:t xml:space="preserve">Cosmos project</w:t>
      </w:r>
      <w:r>
        <w:t xml:space="preserve"> (PAW-DOC-0590 cluster, 1985–1988), a CSC/Queen Mary College collaboration arising from Wilson’s earlier SEMS (Structured Electronic Messaging System) proposal (PAW-DOC-0357); a parallel German development was GMD’s “Domino” office-automation system (PAW-DOC-0712-01). Wireless intra-office network technologies for cooperative working — infrared, radio frequency, cellular — were anticipated as early as 1988 (PAW-ACMCOM-Jul88-p277). Wilson’s own introductory book, </w:t>
      </w:r>
      <w:r>
        <w:rPr>
          <w:i/>
          <w:iCs/>
        </w:rPr>
        <w:t xml:space="preserve">Computer Supported Cooperative Work — An Introduction</w:t>
      </w:r>
      <w:r>
        <w:t xml:space="preserve"> (PAW-BKS-017-01, 1991), and Xerox’s COLAB programme (PAW-DOC-1320-01, PAW-DOC-1396-01) reflect the field’s rapid academic and corporate development. CSCW88 in Portland and the first European CSCW conference (EC-CSCW’89 at Gatwick) are tracked in detail (PAW-DOC-1764-01, PAW-DOC-1855-01 onward), alongside foundational conceptual products such as The Coordinator (PAW-DOC-1817-01), MIT’s Information Lens (PAW-DOC-1769-01), and Doug Engelbart’s pioneering Augment system (PAW-DOC-1853-01, -1895-05).</w:t>
      </w:r>
    </w:p>
    <w:p>
      <w:pPr>
        <w:pStyle w:val="Heading2"/>
      </w:pPr>
      <w:r>
        <w:t xml:space="preserve">10.2 Lotus Notes and the commercial groupware market (1990–1999)</w:t>
      </w:r>
    </w:p>
    <w:p>
      <w:pPr>
        <w:spacing w:after="160"/>
      </w:pPr>
      <w:r>
        <w:t xml:space="preserve">Lotus Notes became the dominant commercial groupware product through the 1990s. Early coverage (PAW-DOC-3144-01, PAW-DOC-3267-01, 1990) is followed by CSC’s own Value Added Reseller agreement (PAW-DOC-3525-02, 1991) and formal evaluation (PAW-DOC-3525-03). Through 1994–1997 Notes dominates the index: server-edition reviews, training, applications, the Notes ViP visual-programming tool (PAW-DOC-5379-01) and CSC’s eventual corporate adoption of Notes as the preferred internal communication tool (PAW-DOC-5857-01, 1995). By 1996, comparative analyses against Microsoft Exchange, Novell Groupwise and Netscape Collabra (PAW-DOC-6160-01) and a detailed Byte comparison of Notes against “web technology on six counts” (PAW-DOC-6167) reveal a genuine competitive threat from the World Wide Web.</w:t>
      </w:r>
    </w:p>
    <w:p>
      <w:pPr>
        <w:spacing w:after="160"/>
      </w:pPr>
      <w:r>
        <w:t xml:space="preserve">Lotus’s response — the </w:t>
      </w:r>
      <w:r>
        <w:rPr>
          <w:b/>
          <w:bCs/>
        </w:rPr>
        <w:t xml:space="preserve">Domino</w:t>
      </w:r>
      <w:r>
        <w:t xml:space="preserve"> web server, which made Notes applications web-accessible — transformed the platform’s trajectory: CSC’s corporate roll-out plans for Domino in pursuit of an open intranet by mid-1998 (PAW-DOC-6378), the Domino Connect product linking Notes with enterprise applications, and the Lotus Notes Teamroom product (PAW-DOC-6431). By 1997–98 the very large GE Lighting AVM (Application Value Management) project — documented across some 97 sub-entries (PAW-DOC-6518) — selected Lotus Notes Espresso as its workflow engine and Domino.doc for document management, showing Notes/Domino had adapted into a web-enabled enterprise application platform rather than being displaced by the web. At Nokia’s Supply Chain Centre in 1998–1999, Wilson was directly involved in publishing Notes content to the intranet using the Website Builders Toolbox and in debating whether Notes or the open web should host the architecture repository (PAW-DOC-6879-01, PAW-DOC-6930-01 to -03).</w:t>
      </w:r>
    </w:p>
    <w:p>
      <w:pPr>
        <w:pStyle w:val="Heading2"/>
      </w:pPr>
      <w:r>
        <w:t xml:space="preserve">10.3 Workflow and electronic meeting systems (1989–1998)</w:t>
      </w:r>
    </w:p>
    <w:p>
      <w:pPr>
        <w:spacing w:after="160"/>
      </w:pPr>
      <w:r>
        <w:t xml:space="preserve">Workflow management software — a practical implementation of CSCW ideas, automating the routing of business processes — emerged as a distinct commercial category: an early Ovum report (PAW-DOC-3819-01, 1991), the NCR ProcessIT product (PAW-DOC-4817-01), Staffware for Windows (PAW-DOC-5050-06), and Xerox InConcert (PAW-DOC-5173-01/02). The Workflow Management Coalition’s interoperability standards were applied in practice at Dresdner Bank by 1997 (PAW-DOC-6341), and a 1998 article frames the field’s maturation into three categories — Automate, Informate and Illuminate (PAW-DOC-6847). Electronic meeting rooms supporting computer-aided brainstorming — VisionQuest, GroupSystems — appear from 1994 (PAW-DOC-4913 series, PAW-DOC-5720 series). The UK government’s DTI CSCW Programme, which Wilson helped manage through the Hicom organisation, ran a sustained research effort tracked through the </w:t>
      </w:r>
      <w:r>
        <w:rPr>
          <w:i/>
          <w:iCs/>
        </w:rPr>
        <w:t xml:space="preserve">Breakthrough</w:t>
      </w:r>
      <w:r>
        <w:t xml:space="preserve"> newsletter from 1992 (PAW-DOC-3948-01, PAW-DOC-4171-01/02, PAW-DOC-5109-01, PAW-DOC-5721 series).</w:t>
      </w:r>
    </w:p>
    <w:p>
      <w:pPr>
        <w:pStyle w:val="Heading1"/>
      </w:pPr>
      <w:r>
        <w:t xml:space="preserve">11. Desktop Videoconferencing and Multimedia (1985–2007)</w:t>
      </w:r>
    </w:p>
    <w:p>
      <w:pPr>
        <w:spacing w:after="160"/>
      </w:pPr>
      <w:r>
        <w:t xml:space="preserve">Videoconferencing underwent a dramatic transformation from expensive, dedicated rooms to the desktop. A 1985 review (PAW-DOC-0753-01) and BT’s Network Nine Conferencing subsidiary (PAW-DOC-1380-01, 1987) document the room-based era; by 1988–89 implementation in government departments (PAW-DOC-1946-01, -1947-01) and convergence with fax and picture phones (PAW-DOC-3280-01) shows the technology spreading. Desktop systems began to emerge from 1989: ICL’s Desktop Conferencing product incorporating ISDN (PAW-DOC-3077-01), and a sustained INTAC collaboration (PAW-DOC-3444-01 cluster, 1988–1991). The </w:t>
      </w:r>
      <w:r>
        <w:rPr>
          <w:b/>
          <w:bCs/>
        </w:rPr>
        <w:t xml:space="preserve">Gulf War</w:t>
      </w:r>
      <w:r>
        <w:t xml:space="preserve"> acted as a genuine forcing function for adoption, with a documented surge in use in January 1991 (PAW-DOC-3558-01), the same period in which email was noted to be bypassing wartime censorship (PAW-DOC-3555-01). Affordable semiconductor video chips (PAW-DOC-3423-01, 1990) and PCMCIA-card-based systems (PAW-DOC-5358-01, 1994) drove costs down further through the mid-1990s, with desktop products from ICL/Fujitsu, HP MPower, Sun ShowMe, IBM Person to Person and BIS reviewed in 1993 (PAW-DOC-4374-01).</w:t>
      </w:r>
    </w:p>
    <w:p>
      <w:pPr>
        <w:spacing w:after="160"/>
      </w:pPr>
      <w:r>
        <w:t xml:space="preserve">Multimedia computing — the convergence of text, image, audio and video — is a major parallel theme: Apple’s “Knowledge Navigator” vision (PAW-DOC-1958-01, 1989, an early articulation of what would become AI assistants), the British Library’s 1991 report on multimedia by Tony Feldman (PAW-DOC-3899-01), Apple QuickTime (PAW-DOC-4174-01, 1992), and a comprehensive Macworld overview of interactive digital video (PAW-DOC-4209-01, 1992). By the 2000s, videoconferencing had matured into VoIP-based products: Polycom’s total-immersion system (PAW-DOC-8716-02, 2006), Avistar’s video-over-IP (PAW-DOC-8743-01, 2007), and Polycom’s VoIP applications booklet (PAW-DOC-8788-01, 2007).</w:t>
      </w:r>
    </w:p>
    <w:p>
      <w:pPr>
        <w:pStyle w:val="Heading1"/>
      </w:pPr>
      <w:r>
        <w:t xml:space="preserve">12. Artificial Intelligence, Expert Systems and Intelligent Agents (1980–2026)</w:t>
      </w:r>
    </w:p>
    <w:p>
      <w:pPr>
        <w:spacing w:after="160"/>
      </w:pPr>
      <w:r>
        <w:t xml:space="preserve">AI is one of the longest-running and most cyclical themes in the collection, appearing in every subset and showing recurring waves of optimism, deflation and renewal.</w:t>
      </w:r>
    </w:p>
    <w:p>
      <w:pPr>
        <w:spacing w:after="160"/>
      </w:pPr>
      <w:r>
        <w:t xml:space="preserve">Early appearances include “Artificial intelligence on the brink” (PAW-DOC-0029-01, 1980) and “Knowledge based systems come of age” (PAW-DOC-0042-02, 1981). Japan’s Fifth Generation Computing project galvanised Western governments: “Britain could lose expert system market to Japan” (PAW-DOC-0002-04, 1982), and US (PAW-DOC-0432-01) and Indian (PAW-DOC-0804-01) responses are tracked through 1984–1985. The UK’s </w:t>
      </w:r>
      <w:r>
        <w:rPr>
          <w:b/>
          <w:bCs/>
        </w:rPr>
        <w:t xml:space="preserve">Alvey Programme</w:t>
      </w:r>
      <w:r>
        <w:t xml:space="preserve"> (1983–1988) funded a large body of related research, documented through </w:t>
      </w:r>
      <w:r>
        <w:rPr>
          <w:i/>
          <w:iCs/>
        </w:rPr>
        <w:t xml:space="preserve">Alvey News</w:t>
      </w:r>
      <w:r>
        <w:t xml:space="preserve"> issues 1 through 32 (PAW-DOC-0312 cluster) and including IKBS (Intelligent Knowledge-Based Systems) methodology papers (PAW-DOC-0532-01, 1984) and a Frost &amp; Sullivan report on European expert-systems growth (PAW-DOC-0743-01). By 1985, expert systems were running on microcomputers (PAW-DOC-0713-01), and Carnegie Institute lecture slides for CSC Europe in 1987 (PAW-DOC-1573-01) cover knowledge representation, problem-solving and AI in business.</w:t>
      </w:r>
    </w:p>
    <w:p>
      <w:pPr>
        <w:spacing w:after="160"/>
      </w:pPr>
      <w:r>
        <w:t xml:space="preserve">A landmark 1994 special issue of </w:t>
      </w:r>
      <w:r>
        <w:rPr>
          <w:i/>
          <w:iCs/>
        </w:rPr>
        <w:t xml:space="preserve">Communications of the ACM</w:t>
      </w:r>
      <w:r>
        <w:t xml:space="preserve"> on intelligent agents (PAW-ACMCOM-Jul94-18 through -143) features Marvin Minsky, the MIT Media Lab, the CYC common-sense knowledge base project, Patti Maes on agents that reduce information overload, and Donald Norman on human–agent interaction. The German GMD “Assisting Computers” project (PAW-DOC-3908 series, 1991–1993) explored interfaces that could evaluate their own competence and adapt to users. A March 1992 article on “Agent Based Computing — ABC” (PAW-DOC-3964-01) and a 1995 debate between Patti Maes and Ben Shneiderman on direct manipulation versus intelligent agents (PAW-INTER-Dec97-42) show the concept maturing into mainstream HCI discourse, even as Shneiderman expressed scepticism that agents would ever behave unpredictably (PAW-INTER-Jan95-13).</w:t>
      </w:r>
    </w:p>
    <w:p>
      <w:pPr>
        <w:spacing w:after="160"/>
      </w:pPr>
      <w:r>
        <w:t xml:space="preserve">Neural networks moved from research to commodity through the early 1990s: a review of neural-network PC packages alongside AT&amp;T’s Rhapsody groupware (PAW-DOC-3193-01, 1990) and a 1993 article on biological models for computer architectures, covering genetic algorithms (PAW-DOC-4401-01). A later (2007) annotation on an Alvey IKBS document asks plainly “What happened to Knowledge Based Systems?” — capturing the deflation of the first AI bubble.</w:t>
      </w:r>
    </w:p>
    <w:p>
      <w:pPr>
        <w:spacing w:after="160"/>
      </w:pPr>
      <w:r>
        <w:t xml:space="preserve">The theme reawakens decisively from 2016: a TED talk by Anthony Goldbloom describing machine learning already marking essays and diagnosing diseases better than humans (PAW-DOC-9180-01, 2016), Daniel Susskind’s TED talk challenging myths about robots and the future of work (PAW-DOC-9192-01, 2017), and a 2015 “tipping point technologies” article identifying AI alongside IoT, genomics and robotics as the technologies most likely to change the world (PAW-DOC-9162-01). The collection’s very last identified entry — a January 2026 article on AI bot swarms threatening to undermine democracy (PAW-DOC-9237-01) — closes the AI theme on a note that directly echoes the collection’s earliest concerns (1980s onward) about the societal implications of computing.</w:t>
      </w:r>
    </w:p>
    <w:p>
      <w:pPr>
        <w:pStyle w:val="Heading1"/>
      </w:pPr>
      <w:r>
        <w:t xml:space="preserve">13. The PC Operating System and Graphical Interface Revolution (1984–1999)</w:t>
      </w:r>
    </w:p>
    <w:p>
      <w:pPr>
        <w:spacing w:after="160"/>
      </w:pPr>
      <w:r>
        <w:t xml:space="preserve">Following the early Macintosh/GEM/Windows skirmishes described in Section 5 and the Unix GUI wars described in Section 8.3, the index documents the decisive consolidation of the PC desktop around Microsoft Windows through the 1990s. A 1991 article on why Windows 3 mattered for IBM PCs (PAW-DOC-3754-01) marks the moment Microsoft’s platform began to assert dominance; CSC’s internal switch to Windows 3.1 (PAW-DOC-4151-01, 1992) and debate over standardising on a single PC operating system (PAW-DOC-4002-01) show the practical consequences for a large IT consultancy. Windows NT’s pre-emptive multitasking and threading architecture is explained in mid-1992 articles (PAW-DOC-4057-06, PAW-DOC-4120-02), while Apple’s PowerBook and the forthcoming Apple–IBM PowerPC chip (PAW-DOC-3843-01, PAW-DOC-4093-01, 1991–1992) maintained a credible alternative platform.</w:t>
      </w:r>
    </w:p>
    <w:p>
      <w:pPr>
        <w:spacing w:after="160"/>
      </w:pPr>
      <w:r>
        <w:t xml:space="preserve">The development and launch of </w:t>
      </w:r>
      <w:r>
        <w:rPr>
          <w:b/>
          <w:bCs/>
        </w:rPr>
        <w:t xml:space="preserve">Windows 95</w:t>
      </w:r>
      <w:r>
        <w:t xml:space="preserve"> (codenamed “Chicago,” with “Cairo” as a planned NT-based successor) is tracked in unusual granularity through 1994–1995: early Chicago/Cairo development plans (PAW-DOC-4807-01), the Chicago User Interface Design Guide (PAW-DOC-5196-01, PAW-DOC-5264-01), MAPI in Chicago (PAW-DOC-5322-01), and the Inland Revenue’s own style-guide changes to accommodate the new OS (PAW-DOC-5602-01). The actual August 1995 launch coincided with a sceptical </w:t>
      </w:r>
      <w:r>
        <w:rPr>
          <w:i/>
          <w:iCs/>
        </w:rPr>
        <w:t xml:space="preserve">Guardian</w:t>
      </w:r>
      <w:r>
        <w:t xml:space="preserve"> piece by Douglas Adams on “the truth about what Windows 95 offers the world” (PAW-DOC-5718-01), and subsequent comparisons of Windows 95 against Windows NT for the Revenue’s OS upgrade strategy (PAW-DOC-5773-01) and predictions that the two product lines would never merge (PAW-DOC-5819-01) show how unsettled the desktop-OS landscape still felt even after a successful launch. The brief PowerPC-versus-Pentium contest (PAW-DOC-4877-01) reflects the period when a RISC-based alternative still seemed able to reshape the personal-computing landscape.</w:t>
      </w:r>
    </w:p>
    <w:p>
      <w:pPr>
        <w:pStyle w:val="Heading1"/>
      </w:pPr>
      <w:r>
        <w:t xml:space="preserve">14. Object Orientation, Java, XML and Component-Based Development (1985–2004)</w:t>
      </w:r>
    </w:p>
    <w:p>
      <w:pPr>
        <w:spacing w:after="160"/>
      </w:pPr>
      <w:r>
        <w:t xml:space="preserve">A significant shift in software-development methodology runs from the mid-1980s academic interest in object-oriented programming (Smalltalk, Loops, CommonLoops, Beta, Simula — PAW-DOC-1567-01, 1985; Tektronix Smalltalk course, PAW-DOC-1020-01, 1986) through to mainstream commercial component-based development by the early 2000s.</w:t>
      </w:r>
    </w:p>
    <w:p>
      <w:pPr>
        <w:spacing w:after="160"/>
      </w:pPr>
      <w:r>
        <w:t xml:space="preserve">CASE (Computer-Aided Software Engineering) tools emerge as a distinct category from 1987 (PAW-DOC-1501-01, PAW-DOC-1519-01). </w:t>
      </w:r>
      <w:r>
        <w:rPr>
          <w:b/>
          <w:bCs/>
        </w:rPr>
        <w:t xml:space="preserve">Java</w:t>
      </w:r>
      <w:r>
        <w:t xml:space="preserve">, launched by Sun in the mid-1990s, is one of the most clearly traceable single-technology stories in the collection: Sun’s introductory booklet (PAW-DOC-6030-01, early 1996), a </w:t>
      </w:r>
      <w:r>
        <w:rPr>
          <w:i/>
          <w:iCs/>
        </w:rPr>
        <w:t xml:space="preserve">Computing</w:t>
      </w:r>
      <w:r>
        <w:t xml:space="preserve"> prediction of a client-server “revolution… by 2000” (PAW-DOC-6017-01), the security implications of “network-traversing code such as ActiveX, Java, General Magic’s Telescript” (PAW-DOC-6263-01, 1996), and by 1999 a practical guide to creating reusable Java Bean components (PAW-DOC-6843-01). </w:t>
      </w:r>
      <w:r>
        <w:rPr>
          <w:b/>
          <w:bCs/>
        </w:rPr>
        <w:t xml:space="preserve">XML</w:t>
      </w:r>
      <w:r>
        <w:t xml:space="preserve"> emerges in parallel as a universal data-exchange standard: from an “excellent” introductory article in 2000 (PAW-DOC-6866-05) through production use in the Excelon and Tamino XML data servers for the DuPont Ag enterprise architecture (PAW-DOC-7007-01 to -11, PAW-DOC-7216-01), to the broader 2001 emergence of </w:t>
      </w:r>
      <w:r>
        <w:rPr>
          <w:b/>
          <w:bCs/>
        </w:rPr>
        <w:t xml:space="preserve">SOAP, UDDI and ebXML</w:t>
      </w:r>
      <w:r>
        <w:t xml:space="preserve"> as the building blocks of what would later be called web services (PAW-DOC-7607-01/02), and a January 2002 article on the REST model (PAW-DOC-7924-01). XML Schema and the rival RELAX NG specification round out the standards landscape by 2002 (PAW-DOC-7791-01 to -03, PAW-DOC-7932-01/02).</w:t>
      </w:r>
    </w:p>
    <w:p>
      <w:pPr>
        <w:spacing w:after="160"/>
      </w:pPr>
      <w:r>
        <w:t xml:space="preserve">CORBA (the open distributed-object standard) and Microsoft’s competing COM/OLE/ActiveX architecture are documented in direct competition (PAW-ACMCOM-Oct98-34/37, PAW-DOC-5513-01, PAW-DOC-6360-01), alongside Rapid Application Development methods such as DSDM (PAW-DOC-5494-01, 1995) and, by 1998, a six-level Component Based Development Maturity Model (PAW-DOC-6821-01).</w:t>
      </w:r>
    </w:p>
    <w:p>
      <w:pPr>
        <w:pStyle w:val="Heading1"/>
      </w:pPr>
      <w:r>
        <w:t xml:space="preserve">15. The Internet and the World Wide Web (1989–2012)</w:t>
      </w:r>
    </w:p>
    <w:p>
      <w:pPr>
        <w:spacing w:after="160"/>
      </w:pPr>
      <w:r>
        <w:t xml:space="preserve">The single most dramatic transition documented anywhere in PAWDOC is the emergence of the internet and the World Wide Web. Its arrival can be traced with unusual precision across the subsets.</w:t>
      </w:r>
    </w:p>
    <w:p>
      <w:pPr>
        <w:pStyle w:val="Heading2"/>
      </w:pPr>
      <w:r>
        <w:t xml:space="preserve">15.1 Pre-web foundations and early internet awareness (1989–1993)</w:t>
      </w:r>
    </w:p>
    <w:p>
      <w:pPr>
        <w:spacing w:after="160"/>
      </w:pPr>
      <w:r>
        <w:t xml:space="preserve">Hypertext theory — the Web’s direct intellectual ancestor — is documented well before the Web itself: Ted Nelson’s Xanadu project (PAW-DOC-1656-01, 1988), the Guide and IDEX hypertext products (PAW-DOC-1997-01, 1989), research into collaborative hypertext writing by Roy Rada (PAW-DOC-3178-01, 1989), and Edward Barrett’s book </w:t>
      </w:r>
      <w:r>
        <w:rPr>
          <w:i/>
          <w:iCs/>
        </w:rPr>
        <w:t xml:space="preserve">The Society of Text</w:t>
      </w:r>
      <w:r>
        <w:t xml:space="preserve"> (PAW-DOC-3676-01). Vannevar Bush’s seminal 1945 essay “As We May Think” is itself held in the collection (PAW-INTER-Mar96-35), alongside a report of a 50th-anniversary symposium at which Alan Kay, Ted Nelson and Douglas Engelbart all spoke (PAW-INTER-Mar96-47). Early internet references appear from late 1992: the EEMA newsletter’s description of routes to the internet via COSINE and RARE (PAW-DOC-3986-05), USENET bulletin boards used for job-hunting (PAW-DOC-4270-01, 1993), and an article on the experimental US national “data superhighway” (PAW-DOC-4625-01, 1993).</w:t>
      </w:r>
    </w:p>
    <w:p>
      <w:pPr>
        <w:pStyle w:val="Heading2"/>
      </w:pPr>
      <w:r>
        <w:t xml:space="preserve">15.2 The Web arrives (1993–1995)</w:t>
      </w:r>
    </w:p>
    <w:p>
      <w:pPr>
        <w:spacing w:after="160"/>
      </w:pPr>
      <w:r>
        <w:t xml:space="preserve">The most significant single entry concerning the Web in the entire collection is a November 1993 </w:t>
      </w:r>
      <w:r>
        <w:rPr>
          <w:i/>
          <w:iCs/>
        </w:rPr>
        <w:t xml:space="preserve">Computer Guardian</w:t>
      </w:r>
      <w:r>
        <w:t xml:space="preserve"> article describing the World Wide Web being set up on the Internet and linking it to hypertext (PAW-DOC-4697-01) — the first explicit WWW reference in the index, showing the Web entered professional awareness very late in 1993. The </w:t>
      </w:r>
      <w:r>
        <w:rPr>
          <w:b/>
          <w:bCs/>
        </w:rPr>
        <w:t xml:space="preserve">Mosaic</w:t>
      </w:r>
      <w:r>
        <w:t xml:space="preserve"> browser appears the following month (PAW-DOC-4822-01, indexed January 1994), and within eighteen months the Web had become a subject of mainstream comment: the </w:t>
      </w:r>
      <w:r>
        <w:rPr>
          <w:i/>
          <w:iCs/>
        </w:rPr>
        <w:t xml:space="preserve">Independent on Sunday</w:t>
      </w:r>
      <w:r>
        <w:t xml:space="preserve"> on the information superhighway and working from home (PAW-DOC-5106-01, 1994), a </w:t>
      </w:r>
      <w:r>
        <w:rPr>
          <w:i/>
          <w:iCs/>
        </w:rPr>
        <w:t xml:space="preserve">Computer Guardian</w:t>
      </w:r>
      <w:r>
        <w:t xml:space="preserve"> Online supplement on finding things on the WWW (PAW-DOC-5360-01 series, Dec 1994), Word’s HTML-generation add-on (PAW-DOC-5433-01, Jan 1995), the CSCW community’s own web pages (PAW-DOC-5596-01, May 1995), and an article on “how the World Wide Web works and what URLs are made up of” (PAW-DOC-5730-01, Aug 1995). By September 1995 the </w:t>
      </w:r>
      <w:r>
        <w:rPr>
          <w:i/>
          <w:iCs/>
        </w:rPr>
        <w:t xml:space="preserve">Guardian</w:t>
      </w:r>
      <w:r>
        <w:t xml:space="preserve"> was running a “non-user’s guide to the Internet” supplement (PAW-DOC-5755-01) — confirming the Web had become a topic requiring mainstream explanation. The browser wars themselves are documented from 1996, comparing Netscape, Mosaic, Cello, Spyglass, Tapestry and Web-Explorer (PAW-ACMCOM-Jan96-30), with a 1998 retrospective naming the eventual winners and losers (PAW-ACMCOM-Oct98-13).</w:t>
      </w:r>
    </w:p>
    <w:p>
      <w:pPr>
        <w:pStyle w:val="Heading2"/>
      </w:pPr>
      <w:r>
        <w:t xml:space="preserve">15.3 The web inside organisations: intranets (1995–1998)</w:t>
      </w:r>
    </w:p>
    <w:p>
      <w:pPr>
        <w:spacing w:after="160"/>
      </w:pPr>
      <w:r>
        <w:t xml:space="preserve">As early as December 1995, internal corporate use of web technology and Netscape products is documented (PAW-DOC-5892), with the Inland Revenue investigating an intranet by early 1996 (PAW-DOC-5944) and a Computacentre briefing on the internet and Web held for corporate clients in February 1996 (PAW-DOC-5961). By 1997 an entire Consultants Conspectus issue is devoted to networks and intranets (PAW-DOC-6374, at least eight separate articles), and by 1998 a PC Magazine guide to intranets (PAW-DOC-6602) signals the technology’s arrival as a mainstream, tutorial-worthy topic rather than a leading edge one.</w:t>
      </w:r>
    </w:p>
    <w:p>
      <w:pPr>
        <w:pStyle w:val="Heading2"/>
      </w:pPr>
      <w:r>
        <w:t xml:space="preserve">15.4 Search, the semantic web and the maturing internet (1995–2012)</w:t>
      </w:r>
    </w:p>
    <w:p>
      <w:pPr>
        <w:spacing w:after="160"/>
      </w:pPr>
      <w:r>
        <w:t xml:space="preserve">Internet security concerns followed adoption almost immediately: encryption and public-key articles (PAW-ACMCOM-Mar96-33), firewalls (PAW-DOC-5488-01), secure Mosaic for credit-card transactions (PAW-DOC-5045-01), and IBM firewalling its network against internet hackers (PAW-DOC-5285-01). </w:t>
      </w:r>
      <w:r>
        <w:rPr>
          <w:b/>
          <w:bCs/>
        </w:rPr>
        <w:t xml:space="preserve">Google</w:t>
      </w:r>
      <w:r>
        <w:t xml:space="preserve">’s rise to dominance over AltaVista and Yahoo is tracked from a 2002 </w:t>
      </w:r>
      <w:r>
        <w:rPr>
          <w:i/>
          <w:iCs/>
        </w:rPr>
        <w:t xml:space="preserve">Observer</w:t>
      </w:r>
      <w:r>
        <w:t xml:space="preserve"> retrospective (PAW-DOC-8094-01) through enterprise adoption of web-search thinking for document estates (PAW-DOC-8175-01, 2003) to desktop search tools — Copernic, Snap, Google Desktop Search — and the subsequent security backlash, with a 2006 CSC bulletin explicitly banning Google Desktop from company machines (PAW-DOC-8538-05). By 2007–2009 the frontier had moved to semantic search: Google’s director of research on “the last word in search” (PAW-DOC-8729-01), the open-source NEPOMUK semantic desktop (PAW-DOC-8820-01), and a 2009 presentation on “revolutionising enterprise architecture with semantic technology” (PAW-DOC-8967-01).</w:t>
      </w:r>
    </w:p>
    <w:p>
      <w:pPr>
        <w:spacing w:after="160"/>
      </w:pPr>
      <w:r>
        <w:t xml:space="preserve">The semantic web and RDF (Resource Description Framework) attracted sustained technical attention from 2002 (PAW-DOC-8054-01 to -8056-01), and W3C’s formal definition of World Wide Web Architecture (identification, interaction, representation) is recorded in 2003–2004 (PAW-DOC-8309-01/02, PAW-DOC-8334-01). E-commerce within this period is treated in Section 17, and the rise of Web 2.0 social platforms in Section 19.</w:t>
      </w:r>
    </w:p>
    <w:p>
      <w:pPr>
        <w:pStyle w:val="Heading1"/>
      </w:pPr>
      <w:r>
        <w:t xml:space="preserve">16. Enterprise Resource Planning, Business Process Management and Enterprise Architecture (1996–2011)</w:t>
      </w:r>
    </w:p>
    <w:p>
      <w:pPr>
        <w:spacing w:after="160"/>
      </w:pPr>
      <w:r>
        <w:t xml:space="preserve">ERP systems — particularly </w:t>
      </w:r>
      <w:r>
        <w:rPr>
          <w:b/>
          <w:bCs/>
        </w:rPr>
        <w:t xml:space="preserve">SAP</w:t>
      </w:r>
      <w:r>
        <w:t xml:space="preserve"> — became dominant enterprise platforms from the mid-to-late 1990s. A 1996 Datapro report on client-server manufacturing software covering SAP and Oracle (PAW-DOC-6523) is followed by detailed internal CSC evaluation of a possible SAP enterprise solution (PAW-DOC-6409, PAW-DOC-6413, PAW-DOC-6425) and CSC’s own 2000 internal adoption of SAP for project-code and expenses management (PAW-DOC-7356-01). The DuPont Ag enterprise-architecture engagement (1999) mapped SAP’s relationships to supply-chain, manufacturing and sales systems across multiple continents (PAW-DOC-6957-01 to PAW-DOC-7098-01), while Budget Rent-a-Car’s Renaissance Programme implemented JD Edwards OneWorld alongside bespoke systems across multiple European countries and languages (PAW-DOC-7203 and PAW-DOC-7239 series). By 2002, “Strategic Enterprise Management” — integrating ERP with planning and end-to-end process management — is described as the next step, foreshadowing Business Intelligence platforms (PAW-DOC-7917-01).</w:t>
      </w:r>
    </w:p>
    <w:p>
      <w:pPr>
        <w:spacing w:after="160"/>
      </w:pPr>
      <w:r>
        <w:t xml:space="preserve">Workflow technology’s evolution into </w:t>
      </w:r>
      <w:r>
        <w:rPr>
          <w:b/>
          <w:bCs/>
        </w:rPr>
        <w:t xml:space="preserve">Business Process Management (BPM)</w:t>
      </w:r>
      <w:r>
        <w:t xml:space="preserve"> is documented in detail from 2000: Howard Smith’s Business Process Modelling Language (BPML), backed by Intalio, is tracked from its origins through CSC’s adoption as standard (PAW-DOC-7996-02, 2002) and a rival language, BPEL (PAW-DOC-8068-01, 2002); BPMN (BPMI.org Notation) is announced in 2003 (PAW-DOC-8230-01); and by 2002 CSC was publishing a white paper describing BPM as “The Third Wave” (PAW-DOC-7497 series).</w:t>
      </w:r>
    </w:p>
    <w:p>
      <w:pPr>
        <w:spacing w:after="160"/>
      </w:pPr>
      <w:r>
        <w:t xml:space="preserve">Enterprise Architecture (EA) emerged as a recognised consulting discipline in its own right: the DuPont Ag engagement, the choice between Lotus Notes, the web, XML and specialist CASE tools for an EA repository (PAW-DOC-6954-01 to -05, PAW-DOC-7007-01 to -11), a 1999 CSC Systems Architecture Workshop in Crete (PAW-DOC-7224-01 to -03), the US Federal Enterprise Architecture framework (PAW-DOC-7894-01, 2001) and the Zachman Framework (PAW-DOC-7787-01, 2001). By 2007–2009 the vocabulary had advanced to “Enterprise Complexity Management” (PAW-DOC-8734-01) and “semantic enterprise architecture” (PAW-DOC-8967-01), with the Troux EA repository tool documented in use at Warner Bros (PAW-DOC-8827-01, 2007).</w:t>
      </w:r>
    </w:p>
    <w:p>
      <w:pPr>
        <w:pStyle w:val="Heading1"/>
      </w:pPr>
      <w:r>
        <w:t xml:space="preserve">17. Electronic Commerce and Electronic Data Interchange (1996–2012)</w:t>
      </w:r>
    </w:p>
    <w:p>
      <w:pPr>
        <w:spacing w:after="160"/>
      </w:pPr>
      <w:r>
        <w:t xml:space="preserve">Electronic Data Interchange (EDI) — the structured, computer-to-computer exchange of business documents — was the B2B precursor to internet-based commerce. Its emergence from 1985 (an article on the US car industry’s electronic ordering/invoicing system, PAW-DOC-0892-01) through to the international EDIFACT standard (PAW-DOC-1437-01, 1987) and government EDI task-force work for GOSIP (PAW-DOC-1388-01, 1987) shows EDI maturing alongside, and intertwined with, the OSI standards programme described in Section 8.2.</w:t>
      </w:r>
    </w:p>
    <w:p>
      <w:pPr>
        <w:spacing w:after="160"/>
      </w:pPr>
      <w:r>
        <w:t xml:space="preserve">Electronic commerce proper emerges as a distinct theme from 1996: an “excellent” Index Foundation report covering cybercash, digicash, Verisign digital certification and Verifone’s MerchantWindow software (CSCFarn-IC-05-03325), internet payment systems (PAW-ACMCOM-Jun96-46), and First Virtual Holdings, described as “a virtual company selling an internet payment service” (PAW-ACMCOM-Jun96-36). Practical online-commerce mechanics receive detailed attention by 1998: internet marketing models, consumer purchasing assistance, web-advertising components (PAW-ACMCOM-Mar98-35 through -76), and web-based auctions (PAW-ACMCOM-Jul98-99). By the 2000s the focus had shifted from whether e-commerce could work to how to make it work better: e-commerce’s four phases — information, agreement, settlement, after-sales (PAW-BIT-Jun02-21-3-185) — and consumer reactions to online purchasing (PAW-BIT-Jul04-23-4-237).</w:t>
      </w:r>
    </w:p>
    <w:p>
      <w:pPr>
        <w:spacing w:after="160"/>
      </w:pPr>
      <w:r>
        <w:t xml:space="preserve">Within CSC, the C4D (“Catalyst for the Digital Age”) e-commerce methodology was deployed and taught from 2000 (PAW-DOC-7403-01 to -03), with case studies including Sainsbury’s (PAW-DOC-6968-04) and IBM’s published e-commerce architecture patterns (PAW-DOC-7242-01). The semantic infrastructure of online commerce was also addressed directly: Ontology.Org, set up by CSC staff to develop an e-commerce taxonomy (PAW-DOC-6863). By 1998–2002 e-commerce had become a board-level concern at major consultancies, with CSC packaging joint e-commerce offerings with Intershop (PAW-DOC-6862, 1998) and publishing consumer-facing PC Magazine guides to “E-business” (PAW-DOC-6845, 1998).</w:t>
      </w:r>
    </w:p>
    <w:p>
      <w:pPr>
        <w:pStyle w:val="Heading1"/>
      </w:pPr>
      <w:r>
        <w:t xml:space="preserve">18. Mobile Computing: From Pen Computing to the Smartphone (1985–2025)</w:t>
      </w:r>
    </w:p>
    <w:p>
      <w:pPr>
        <w:spacing w:after="160"/>
      </w:pPr>
      <w:r>
        <w:t xml:space="preserve">The transition from fixed to mobile computing is one of the most clearly traceable long-run themes in the collection, spanning more than four decades.</w:t>
      </w:r>
    </w:p>
    <w:p>
      <w:pPr>
        <w:spacing w:after="160"/>
      </w:pPr>
      <w:r>
        <w:t xml:space="preserve">The earliest portables — laptops, “kneetops” and the pioneering Psion Organiser — appear from 1985: CCTA reports on kneetop and laptop computers (PAW-DOC-0822-01, PAW-DOC-0818-01), and reviews of the Psion Organiser (PAW-DOC-1515-01, 1986). By the early 1990s, Apple’s </w:t>
      </w:r>
      <w:r>
        <w:rPr>
          <w:b/>
          <w:bCs/>
        </w:rPr>
        <w:t xml:space="preserve">Newton</w:t>
      </w:r>
      <w:r>
        <w:t xml:space="preserve"> defined the new Personal Digital Assistant (PDA) category: the first articles on “the first Apple PDA” (PAW-DOC-3983-01, 1992), the official Apple brochure (PAW-DOC-4057-08), and reports that Coca-Cola and American Express were already using Newtons by 1993 (PAW-DOC-4548-01). Competing palm-tops — Poquet, Sharp PC3000, Mitac, Amstrad, Fujitsu — are reviewed throughout 1992–1993 (PAW-DOC-4097-01, PAW-DOC-4365-02).</w:t>
      </w:r>
    </w:p>
    <w:p>
      <w:pPr>
        <w:spacing w:after="160"/>
      </w:pPr>
      <w:r>
        <w:t xml:space="preserve">Through the mid-to-late 1990s the Psion 3a and Psion 5, alongside early Windows CE devices, dominated everyday professional mobile computing (PAW-DOC-6038-01, 1996; PAW-DOC-6605-01, 1998, comparing Palm Pilot 3, Psion 5 and Windows CE), with practical integration challenges between PDAs and corporate groupware systems such as Lotus Notes (PAW-DOC-6611). Wireless data services for portables — the CLIC cellular system (PAW-DOC-5050-04) — and wireless LANs for laptops (PAW-DOC-3932-01, 1992) round out this period. CSC’s own “Xtended Office” mobility service using Bluetooth (PAW-DOC-8349-01, 2004) and location-based GPS services (PAW-DOC-8354-01, 2004) mark the early-2000s mobile-enterprise push, alongside Psion’s 2001 exit from the handheld-organiser market (PAW-DOC-7780-01) and the rise of BlackBerry devices by 2009 (PAW-DOC-8995-01).</w:t>
      </w:r>
    </w:p>
    <w:p>
      <w:pPr>
        <w:spacing w:after="160"/>
      </w:pPr>
      <w:r>
        <w:t xml:space="preserve">The smartphone era proper is documented from around 2007 (a review of what users want in cell-phone design, PAW-BIT-Apr07-26-2-149; Tom Stewart’s 2014 review of new Apple phones and the Apple Watch announcement, PAW-BIT-Dec14-33-12-1245) through to a 2011 TED talk identifying smartphones, tablets and Facebook as forces displacing Microsoft’s and Google’s old dominance (PAW-DOC-9086-02). Apple’s iPad, reviewed in a 2010 </w:t>
      </w:r>
      <w:r>
        <w:rPr>
          <w:i/>
          <w:iCs/>
        </w:rPr>
        <w:t xml:space="preserve">Observer</w:t>
      </w:r>
      <w:r>
        <w:t xml:space="preserve"> article (PAW-DOC-9039-01), marks the beginning of the post-PC tablet era, while RFID moved from novelty (PAW-DOC-8370-01, 2004) to mainstream aerospace application by 2011, with an Airbus-approved RFID solution for A350 XWB suppliers (PAW-DOC-9075-01). The theme’s most recent entry, a 2025 </w:t>
      </w:r>
      <w:r>
        <w:rPr>
          <w:i/>
          <w:iCs/>
        </w:rPr>
        <w:t xml:space="preserve">Guardian</w:t>
      </w:r>
      <w:r>
        <w:t xml:space="preserve"> article on “25 useful things” a mobile phone can now do, is described in the index as “a graphic illustration of the central role the mobile phone now plays” (PAW-DOC-9236-01).</w:t>
      </w:r>
    </w:p>
    <w:p>
      <w:pPr>
        <w:pStyle w:val="Heading1"/>
      </w:pPr>
      <w:r>
        <w:t xml:space="preserve">19. Information Security: A Relentlessly Expanding Concern (1982–2020)</w:t>
      </w:r>
    </w:p>
    <w:p>
      <w:pPr>
        <w:spacing w:after="160"/>
      </w:pPr>
      <w:r>
        <w:t xml:space="preserve">Security concerns follow each new technology’s adoption within a year or two throughout the collection — email (1982–1984), networks (1985), the internet (1994), e-commerce (1996), wireless (2003–2005) and mobile (2004–2010) all attract security commentary almost immediately after their first appearance.</w:t>
      </w:r>
    </w:p>
    <w:p>
      <w:pPr>
        <w:spacing w:after="160"/>
      </w:pPr>
      <w:r>
        <w:t xml:space="preserve">Internet security in particular is addressed early and seriously: cryptosystems, denial of service and smartcards (PAW-ACMCOM-Nov94-28, 1994); protocol stacks, SSL and SKIP (PAW-ACMCOM-Jun96-29, 1996); and explanations of computer viruses and the fight against them (PAW-ACMCOM-Jan97-46, 1997). From 2002, a long run of CSC Information Security Awareness Bulletins documents successive waves of new threat types in close to real time: spam and junk email (2003); spyware, P2P file-sharing risks and pharming/“Evil Twin” wireless attacks (2005); phishing, ransomware, Trojans, keyloggers and spear phishing (2006–2007); Skype risks and Microsoft Word viruses (2006–2007). Laptop encryption became mandatory CSC policy by 2008 (PAW-DOC-8881-02), reinforced by a 2007 encryption service for remote workers (PAW-DOC-884-01) and the theft of the author’s own laptop in 2004 (PAW-DOC-8400-01) underscoring the physical dimension of the problem. A 2008 summary lists viruses, dodgy printers, unsupported open-source software and iTunes among the era’s top ten security risks (PAW-DOC-8900-01).</w:t>
      </w:r>
    </w:p>
    <w:p>
      <w:pPr>
        <w:spacing w:after="160"/>
      </w:pPr>
      <w:r>
        <w:t xml:space="preserve">Network security continued to evolve through the 2000s: a 1998 article on Secure Sockets Layer (SSL) underpinning commercial internet transactions (PAW-DOC-6846), and CSC UKD’s formal IT security policy (PAW-DOC-6393, 1997). The final years of the collection bring fully contemporary cybersecurity concerns: a December 2020 </w:t>
      </w:r>
      <w:r>
        <w:rPr>
          <w:i/>
          <w:iCs/>
        </w:rPr>
        <w:t xml:space="preserve">Guardian</w:t>
      </w:r>
      <w:r>
        <w:t xml:space="preserve"> article by Bruce Schneier on a massive US data breach (PAW-DOC-9216-01), guidance on “the digital spring clean” covering password managers and two-factor authentication (PAW-DOC-9233-01), and a 2018 article on blockchain supporting pervasive computing (PAW-DOC-9199-01).</w:t>
      </w:r>
    </w:p>
    <w:p>
      <w:pPr>
        <w:pStyle w:val="Heading1"/>
      </w:pPr>
      <w:r>
        <w:t xml:space="preserve">20. Knowledge Management, Document Management and the Paperless Office (1981–2012)</w:t>
      </w:r>
    </w:p>
    <w:p>
      <w:pPr>
        <w:spacing w:after="160"/>
      </w:pPr>
      <w:r>
        <w:t xml:space="preserve">The management of electronic documents — and the persistent gap between the “paperless office” ideal and reality — is a theme running across the entire collection, reflecting both Wilson’s professional consultancy work and his personal use of successive Document Management Systems for PAWDOC itself.</w:t>
      </w:r>
    </w:p>
    <w:p>
      <w:pPr>
        <w:spacing w:after="160"/>
      </w:pPr>
      <w:r>
        <w:t xml:space="preserve">Wilson’s NCC book project on Electronic Filing and Retrieval (EFR), completed in 1985 (PAW-DOC-0547-01), and his survey of UK filing-and-retrieval packages (PAW-DOC-0232-01, 1983), sit alongside the broader industry literature: FedEx’s document-management re-engineering (PAW-ACMCOM-Feb96-99, 1996), document management on the Web (PAW-ACMCOM-Sep97-81, 1997), and Merrill Lynch’s integration of document management with web technologies (PAW-ACMCOM-Jul98-107, 1998). Document imaging matured into a substantial commercial market through the 1990s: Lotus Notes Document Imaging (PAW-DOC-4874-01), Xerox’s Visual Recall package (PAW-DOC-5158-03), and Wilson’s own </w:t>
      </w:r>
      <w:r>
        <w:rPr>
          <w:b/>
          <w:bCs/>
        </w:rPr>
        <w:t xml:space="preserve">“Paperless Knowledge Worker”</w:t>
      </w:r>
      <w:r>
        <w:t xml:space="preserve"> project with CSC and City University, which began operational scanning of his own documents on 17 August 1995 (PAW-DOC-5607-01) and is documented through several dissertations and reports (PAW-DOC-5563-01, PAW-DOC-5683-01/02, PAW-DOC-4012-08).</w:t>
      </w:r>
    </w:p>
    <w:p>
      <w:pPr>
        <w:spacing w:after="160"/>
      </w:pPr>
      <w:r>
        <w:t xml:space="preserve">The legal status of electronic documents was formalised during this period: the UK’s electronic document code of practice, BS PD 0008, made scanned documents legally acceptable, permitting destruction of paper originals (PAW-DOC-6156-01, 1996). </w:t>
      </w:r>
      <w:r>
        <w:rPr>
          <w:b/>
          <w:bCs/>
        </w:rPr>
        <w:t xml:space="preserve">Knowledge Management (KM)</w:t>
      </w:r>
      <w:r>
        <w:t xml:space="preserve"> emerged as a distinct discipline from the late 1990s: CSC’s “Sources” Lotus Notes/web knowledge portal, its usability evaluation, European deployment, and eventual migration to a Plumtree web portal (PAW-DOC-6937-01 to -06, PAW-DOC-7100-01/02, PAW-DOC-7897-01/02); a 1999 Consultants Guide to Knowledge Management (PAW-DOC-7139-01); and Doug Engelbart’s bootstrap seminars on Dynamic Knowledge Repositories, which CSC adopted (PAW-DOC-7385-01). By 2001 a CSC Research Services article was already noting that KM had been “overtaken by technology” (PAW-DOC-7634-01) — a clear sign of disillusionment with purely technology-driven KM, even as Knowledge Management Systems lessons from Siemens (PAW-BIT-Jan11-30-1-63, 2011) and CSC Denmark’s study of knowledge retrieval through virtual communities (PAW-BIT-Aug10-29-4-349, 2010) show the field persisting in modified form.</w:t>
      </w:r>
    </w:p>
    <w:p>
      <w:pPr>
        <w:spacing w:after="160"/>
      </w:pPr>
      <w:r>
        <w:t xml:space="preserve">Digital preservation of the collection itself became an explicit, self-referential concern: a 1998 article on “dangers of digital material not surviving because of media deterioration” (PAW-ACMCOM-Jun98-10) anticipates a long-running personal project, including Wilson’s Personal Digital Archives work published with the Digital Preservation Coalition (PAW-DOC-9178-01), his 2015 UCL online Digital Preservation course (PAW-DOC-9219-01), and the detailed PawdocDP preservation project of 2017–2018 (PAW-DOC-9189-01 to -10). The collection’s own management software evolved from “Paperclip” (PAW-CD-010-01, 1999) to “Fish” (PAW-CD-005-01, 2000) and ultimately to plain folder-based storage on a laptop, while the FileMaker Pro index itself migrated through versions 7 (2004), 9 (2007) and 11 (2011) (PAW-CD-026-01/02, PAW-CD-032-01).</w:t>
      </w:r>
    </w:p>
    <w:p>
      <w:pPr>
        <w:pStyle w:val="Heading1"/>
      </w:pPr>
      <w:r>
        <w:t xml:space="preserve">21. Web 2.0, Social Media and Its Societal Impact (2005–2019)</w:t>
      </w:r>
    </w:p>
    <w:p>
      <w:pPr>
        <w:spacing w:after="160"/>
      </w:pPr>
      <w:r>
        <w:t xml:space="preserve">Web 2.0 — user-generated content and read/write participation on the web — is identified directly in a 2006 </w:t>
      </w:r>
      <w:r>
        <w:rPr>
          <w:i/>
          <w:iCs/>
        </w:rPr>
        <w:t xml:space="preserve">Interactions</w:t>
      </w:r>
      <w:r>
        <w:t xml:space="preserve"> article (PAW-INTER-Nov06-12) and a 2007 piece noting the web had “completely reversed” old ideas of expertise (PAW-INTER-Mar07-48). Enterprise adoption of blogs and wikis for collaboration follows quickly: a 2005 article on enterprise collaboration with blogs and wikis (PAW-DOC-8550-01), wikis in use at Nokia and Dresdner Kleinwort (PAW-DOC-8798-01, 2007), and CSC’s own fully fledged Wiki facility (PAW-DOC-8912-01, 2008), though an Ovum analysis as late as 2009 found Web 2.0 “still not on board radars” in many organisations (PAW-DOC-9008-01) — a useful corrective to any assumption that enterprise adoption matched consumer hype.</w:t>
      </w:r>
    </w:p>
    <w:p>
      <w:pPr>
        <w:spacing w:after="160"/>
      </w:pPr>
      <w:r>
        <w:t xml:space="preserve">Blogging’s earliest appearances — a Radio Userland blogging-community setup (PAW-DOC-7988-01, 2002) and a </w:t>
      </w:r>
      <w:r>
        <w:rPr>
          <w:i/>
          <w:iCs/>
        </w:rPr>
        <w:t xml:space="preserve">Guardian</w:t>
      </w:r>
      <w:r>
        <w:t xml:space="preserve"> article on the rise of blogging (PAW-DOC-8142-01, 2003) — are followed by RSS feeds (PAW-DOC-8755-01, 2007), Twitter (PAW-DOC-8916-01, 2008), and corporate social-networking visualisation tools such as IBM’s Atlas for Lotus Connections (PAW-DOC-8856-01, 2007). Academic research on social-media behaviour spans relationship structures reflecting real-world ties (PAW-BIT-Apr08-27-2-97, 2008), motivations for contributing to Wikipedia (PAW-BIT-Jan11-30-1-131, 2011), Facebook’s impact on social capital (PAW-BIT-Jan13-32-1-24, 2013), and the disconnect between online and offline life across chat rooms, Facebook and Twitter (PAW-BIT-Jun13-32-6-517, 2013). CSC formalised employee guidance on social-media use by 2010 (PAW-DOC-9022-01, PAW-DOC-9024-01) and launched its own SelectMinds-powered alumni social network the same year (PAW-DOC-9046-01).</w:t>
      </w:r>
    </w:p>
    <w:p>
      <w:pPr>
        <w:spacing w:after="160"/>
      </w:pPr>
      <w:r>
        <w:t xml:space="preserve">From 2017 the tone in the collection darkens considerably: a </w:t>
      </w:r>
      <w:r>
        <w:rPr>
          <w:i/>
          <w:iCs/>
        </w:rPr>
        <w:t xml:space="preserve">Observer</w:t>
      </w:r>
      <w:r>
        <w:t xml:space="preserve"> article on Silicon Valley firms undermining the democratic process (PAW-DOC-9191-02, 2017), a former Facebook executive expressing guilt over the tools he helped build (PAW-DOC-9191-01, 2017), an open letter to Mark Zuckerberg arguing the problem is Facebook specifically rather than the internet in general (PAW-DOC-9202-01, 2019), and Eli Pariser’s TED talk on using public-space design principles to “fix” social media (PAW-DOC-9205-01, 2019). Wael Ghonim’s 2015 TED talk, reflecting as a figure who had helped trigger the Arab Spring via Facebook on the need for different social-media messaging structures (PAW-DOC-9164-01), bridges the platform’s earlier utopian framing and its later, more troubled reception.</w:t>
      </w:r>
    </w:p>
    <w:p>
      <w:pPr>
        <w:pStyle w:val="Heading1"/>
      </w:pPr>
      <w:r>
        <w:t xml:space="preserve">22. Web Services, Cloud Computing, the Year 2000 Problem and the Internet of Things (1997–2011)</w:t>
      </w:r>
    </w:p>
    <w:p>
      <w:pPr>
        <w:pStyle w:val="Heading2"/>
      </w:pPr>
      <w:r>
        <w:t xml:space="preserve">22.1 The Year 2000 (Millennium Bug) Problem</w:t>
      </w:r>
    </w:p>
    <w:p>
      <w:pPr>
        <w:spacing w:after="160"/>
      </w:pPr>
      <w:r>
        <w:t xml:space="preserve">The Y2K crisis is documented as a discrete, intensively managed episode. As early as 1997, “a good article about the year 2000 date crisis and all the other date crises in the future” (PAW-ACMCOM-Jan97-15) and proposals including “a calendar catering for 350 billion years” (PAW-ACMCOM-May97-116) are filed alongside cost-calculation methodologies for Y2K compliance work (PAW-ACMCOM-Feb98-30). At the operational level, DuPont Ag’s comprehensive Y2K application inventory and test programme (PAW-DOC-6957-01 to -04, PAW-DOC-6998-01/02) and Budget Rent-a-Car’s Y2K Change Management Board contingency plans (PAW-DOC-7209-01 to -03) show large organisations treating the risk with real seriousness; CSC even deployed its Intraspect Knowledge Management system in support of Y2K remediation work (PAW-DOC-6807). A millennium-edition newsletter reviewing thirty years of computing and forecasting the next fifteen (PAW-DOC-7307-01) captures the moment of transition, and a March 2000 CSC magazine article on “millennium bug averted” (PAW-DOC-6968-05) records the anticlimactic, successful outcome — Y2K was, in the words of one subset report, “the one feared disruption that did not materialise,” though its remediation effort had the lasting side benefit of accelerating the audit and documentation of legacy systems.</w:t>
      </w:r>
    </w:p>
    <w:p>
      <w:pPr>
        <w:pStyle w:val="Heading2"/>
      </w:pPr>
      <w:r>
        <w:t xml:space="preserve">22.2 Web services and the path to cloud computing (2000–2011)</w:t>
      </w:r>
    </w:p>
    <w:p>
      <w:pPr>
        <w:spacing w:after="160"/>
      </w:pPr>
      <w:r>
        <w:t xml:space="preserve">Building on the XML and SOAP/UDDI/ebXML foundations described in Section 14, the period 2000–2002 saw the first explicit articulation of </w:t>
      </w:r>
      <w:r>
        <w:rPr>
          <w:b/>
          <w:bCs/>
        </w:rPr>
        <w:t xml:space="preserve">web services</w:t>
      </w:r>
      <w:r>
        <w:t xml:space="preserve"> as a computing paradigm pointing towards what would later be called cloud computing: a SandPipe newsletter describing web services as “building blocks for distributed systems” (PAW-DOC-7936-01, 2002), and an IBM article on the “Computing Grid” — internet-connected servers sharing processing power, storage and data — explicitly identified as a precursor to supplementing or replacing local IT infrastructure (PAW-DOC-7957-01). Application Service Providers (ASPs), an early form of cloud-delivered software, were analysed for their cost models as early as July 2000 (PAW-DOC-7490-01).</w:t>
      </w:r>
    </w:p>
    <w:p>
      <w:pPr>
        <w:spacing w:after="160"/>
      </w:pPr>
      <w:r>
        <w:t xml:space="preserve">The explicit cloud-computing transition is documented across the 2000s and into the early 2010s: broadband-enabled new service models (PAW-DOC-8565-01, 2005); CSC’s “results-driven computing”/utility-computing offering as precursor cloud language (PAW-DOC-8289-01, 2003); a 2007 CSC learning email on joining the “Software as a Service (SaaS) revolution” (PAW-DOC-8777-01); Ray Ozzie’s landmark 2010 “Dawn of a New Day” open letter to Microsoft employees on cloud-based continuous services (PAW-DOC-9060-01); and CSC’s own formal launch of an Infrastructure Utility Service in 2011, described in the index with the wry comment “at last we eat our own dogfood” (PAW-DOC-9077-01), followed by a CSC World Magazine issue devoted entirely to CSC Cloud solutions (PAW-DOC-9081-02, Winter 2011). A 2014 article, “RIP the server — as it is taken over by cloud services” (PAW-DOC-9148-01), explicitly marks the end of an era, consistent with the broader pattern of IT infrastructure disappearing from view as services moved online; the broader economic model of outsourcing, and CSC’s 2017 merger with HP Enterprise Services to form DXC Technology (PAW-DOC-9186-01), reflect the accompanying consolidation of the IT services sector.</w:t>
      </w:r>
    </w:p>
    <w:p>
      <w:pPr>
        <w:pStyle w:val="Heading2"/>
      </w:pPr>
      <w:r>
        <w:t xml:space="preserve">22.3 The Internet of Things and lifelogging (2007–2011)</w:t>
      </w:r>
    </w:p>
    <w:p>
      <w:pPr>
        <w:spacing w:after="160"/>
      </w:pPr>
      <w:r>
        <w:t xml:space="preserve">The earliest articulations of ideas later central to the 2010s appear at the very end of this period: a 2011 article by Howard Smith on the </w:t>
      </w:r>
      <w:r>
        <w:rPr>
          <w:b/>
          <w:bCs/>
        </w:rPr>
        <w:t xml:space="preserve">Internet of Things</w:t>
      </w:r>
      <w:r>
        <w:t xml:space="preserve"> and its impact on computer-services companies, documenting the moment the concept entered mainstream IT discourse at CSC (PAW-DOC-9067-01); a 2007 </w:t>
      </w:r>
      <w:r>
        <w:rPr>
          <w:i/>
          <w:iCs/>
        </w:rPr>
        <w:t xml:space="preserve">Scientific American</w:t>
      </w:r>
      <w:r>
        <w:t xml:space="preserve"> article on Microsoft Research’s MyLifeBits “digital life” lifelogging project (PAW-DOC-8784-01); and a 2010 article on lifelogging prompted by Microsoft’s Kin phone (PAW-DOC-9040-01). Early desktop fabrication / 3D printing also makes an appearance, in a 2007 </w:t>
      </w:r>
      <w:r>
        <w:rPr>
          <w:i/>
          <w:iCs/>
        </w:rPr>
        <w:t xml:space="preserve">New Scientist</w:t>
      </w:r>
      <w:r>
        <w:t xml:space="preserve"> article headlined “Desktop Fabricator May Kick-Start Home Revolution” (PAW-DOC-8747-01), alongside a 1996 product, the Cybaman Replicator, described as able to scan and reproduce solid 3D objects (PAW-DOC-6168-01) — an earlier precursor to the same idea.</w:t>
      </w:r>
    </w:p>
    <w:p>
      <w:r>
        <w:br w:type="page"/>
      </w:r>
    </w:p>
    <w:p>
      <w:pPr>
        <w:pStyle w:val="Heading1"/>
      </w:pPr>
      <w:r>
        <w:t xml:space="preserve">Summary Timeline</w:t>
      </w:r>
    </w:p>
    <w:p>
      <w:pPr>
        <w:spacing w:after="160"/>
      </w:pPr>
      <w:r>
        <w:t xml:space="preserve">The table below summarises, period by period, the principal IT developments traced through the collection as a whole, with representative (not exhaustive) Reference Numbers.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5040"/>
        <w:gridCol w:w="2160"/>
      </w:tblGrid>
      <w:tr>
        <w:tc>
          <w:tcPr>
            <w:tcW w:type="dxa" w:w="21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top"/>
          </w:tcPr>
          <w:p>
            <w:pPr>
              <w:spacing w:after="0"/>
            </w:pPr>
            <w:r>
              <w:rPr>
                <w:b/>
                <w:bCs/>
              </w:rPr>
              <w:t xml:space="preserve">Period</w:t>
            </w:r>
          </w:p>
        </w:tc>
        <w:tc>
          <w:tcPr>
            <w:tcW w:type="dxa" w:w="50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top"/>
          </w:tcPr>
          <w:p>
            <w:pPr>
              <w:spacing w:after="0"/>
            </w:pPr>
            <w:r>
              <w:rPr>
                <w:b/>
                <w:bCs/>
              </w:rPr>
              <w:t xml:space="preserve">Key Technology Change</w:t>
            </w:r>
          </w:p>
        </w:tc>
        <w:tc>
          <w:tcPr>
            <w:tcW w:type="dxa" w:w="21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top"/>
          </w:tcPr>
          <w:p>
            <w:pPr>
              <w:spacing w:after="0"/>
            </w:pPr>
            <w:r>
              <w:rPr>
                <w:b/>
                <w:bCs/>
              </w:rPr>
              <w:t xml:space="preserve">Representative Reference Numbers</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c.1978–1981</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Office Automation defined as a discipline; earliest electronic alternatives to paper</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JP-DOC-0071-01, PAW-DOC-0001-01/02</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1981–1983</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VDU ergonomics/HCI concern emerges; viewdata (Prestel) and early word processing</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PAW-DOC-0007-01, PAW-DOC-0232-01</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1982–1985</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Email/EMS revolution (Telecom Gold, COM); computer conferencing; expert systems boom</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PAW-DOC-0327-01, PAW-DOC-0547-01</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1985–1987</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CSCW founded as a discipline; LAN/PC proliferation; ODA/SGML and EDI standards; CD-ROM</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PAW-DOC-19 to -25 cluster</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1988–1991</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Unix/GUI standardisation battles; Lotus Notes; desktop video; hypertext precursors to the Web</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PAW-DOC-1647 to -3660</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1991–1994</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Windows 3/NT and Mac GUI maturity; client-server computing; first explicit WWW reference</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PAW-DOC-4697-01</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1994–1995</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Mosaic and the public Web; Windows 95 (“Chicago”); X.400 vs Internet SMTP/MIME email</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PAW-DOC-4775 to -5883</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1995–1999</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Corporate intranets; Notes→Domino; Java/e-commerce; Y2K remediation begins</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PAW-DOC-5884 to -6866</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1999–2002</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Dot-com e-commerce and XML web-services standards; ERP/SAP; Y2K averted</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PAW-DOC-6866 to -7963</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2002–2007</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Google/search maturity; web services→SOA; broadband; Web 2.0/blogs/wikis emerge</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PAW-DOC-7963 to -8784</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2007–2011</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Smartphones/iPad; cloud computing (Ozzie’s letter, CSC Cloud); social media adoption; IoT named</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PAW-DOC-9040 to -9081</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2012–2019</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Social media’s societal/democratic impact darkens; cloud displaces servers; DXC merger</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PAW-DOC-9148-01, PAW-DOC-9191-02</w:t>
            </w:r>
          </w:p>
        </w:tc>
      </w:tr>
      <w:tr>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2020–2026</w:t>
            </w:r>
          </w:p>
        </w:tc>
        <w:tc>
          <w:tcPr>
            <w:tcW w:type="dxa" w:w="504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Cybersecurity/privacy intensify; AI/ML resurgence culminates in AI agent swarms concerns</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pPr>
              <w:spacing w:after="0"/>
            </w:pPr>
            <w:r>
              <w:rPr>
                <w:b w:val="false"/>
                <w:bCs w:val="false"/>
              </w:rPr>
              <w:t xml:space="preserve">PAW-DOC/PAW-INTER 2020–2026 entries</w:t>
            </w:r>
          </w:p>
        </w:tc>
      </w:tr>
    </w:tbl>
    <w:p>
      <w:r>
        <w:br w:type="page"/>
      </w:r>
    </w:p>
    <w:p>
      <w:pPr>
        <w:pStyle w:val="Heading1"/>
      </w:pPr>
      <w:r>
        <w:t xml:space="preserve">Conclusion: Cross-Cutting Observations</w:t>
      </w:r>
    </w:p>
    <w:p>
      <w:pPr>
        <w:spacing w:after="160"/>
      </w:pPr>
      <w:r>
        <w:t xml:space="preserve">Read as a whole, the PAWDOC Index and its associated files describe a near-continuous, accelerating sequence of IT change from 1978 to 2026, observed and often actively shaped by a single practitioner. Several patterns recur across every subset and every theme identified above.</w:t>
      </w:r>
    </w:p>
    <w:p>
      <w:pPr>
        <w:spacing w:after="160"/>
      </w:pPr>
      <w:r>
        <w:rPr>
          <w:b/>
          <w:bCs/>
        </w:rPr>
        <w:t xml:space="preserve">The pace of change accelerates, then becomes continuous. </w:t>
      </w:r>
      <w:r>
        <w:t xml:space="preserve">The 1978–1986 period is dominated by a comparatively small number of technologies — Office Automation, VDU ergonomics, early LANs, optical discs, and the first email and fax systems. From 1994 the internet detonates into the collection, and from that point on the number of distinct, simultaneously active technology threads in any given year multiplies rapidly: by the mid-1990s, email standards, the Web, Windows 95, Lotus Notes/groupware, client-server computing, object orientation and teleworking are all being documented in real time within the same two-year window (PAWDOC Subset F). From the 2000s onward, change becomes effectively continuous rather than punctuated, with web services, cloud computing, social media, smartphones and AI all overlapping rather than succeeding one another in sequence.</w:t>
      </w:r>
    </w:p>
    <w:p>
      <w:pPr>
        <w:spacing w:after="160"/>
      </w:pPr>
      <w:r>
        <w:rPr>
          <w:b/>
          <w:bCs/>
        </w:rPr>
        <w:t xml:space="preserve">Security concerns follow adoption within months, not years. </w:t>
      </w:r>
      <w:r>
        <w:t xml:space="preserve">In every case across the whole sixty-year span — email (1982–1984), networks (1985), the internet (1994), e-commerce (1996), wireless networking (2003–2005), mobile devices (2004–2010) and cloud services (2010s) — security and privacy commentary appears almost immediately after the underlying technology’s first appearance in the index, never lagging by more than a year or two.</w:t>
      </w:r>
    </w:p>
    <w:p>
      <w:pPr>
        <w:spacing w:after="160"/>
      </w:pPr>
      <w:r>
        <w:rPr>
          <w:b/>
          <w:bCs/>
        </w:rPr>
        <w:t xml:space="preserve">Standards battles are a permanent feature, and openness rarely wins outright. </w:t>
      </w:r>
      <w:r>
        <w:t xml:space="preserve">X.400 versus proprietary mail systems, OSI/GOSIP versus de facto internet protocols, X-Windows/Motif versus Windows, BPML versus BPEL, CORBA versus COM/OLE, and Java versus ActiveX all follow a similar arc: years of standards-committee activity, followed by a pragmatic, often Microsoft- or internet-driven de facto standard displacing the formally agreed one. Lotus Notes’s successful reinvention as the web-enabled Domino platform, rather than being displaced outright by the Web, is the clearest counter-example of an incumbent successfully adapting rather than being swept away.</w:t>
      </w:r>
    </w:p>
    <w:p>
      <w:pPr>
        <w:spacing w:after="160"/>
      </w:pPr>
      <w:r>
        <w:rPr>
          <w:b/>
          <w:bCs/>
        </w:rPr>
        <w:t xml:space="preserve">Human-factors concerns are present from the very beginning and never disappear. </w:t>
      </w:r>
      <w:r>
        <w:t xml:space="preserve">Whether expressed as VDU ergonomics in 1981, the formal HCI discipline of the mid-1980s, usability engineering in the 1990s, or User Experience from the mid-2000s onward, the impact of technology on the people who use it is one of the only themes that runs, essentially without interruption, across the entire fifty-year span of the collection — a continuity that directly reflects Wilson’s own career specialism.</w:t>
      </w:r>
    </w:p>
    <w:p>
      <w:pPr>
        <w:spacing w:after="160"/>
      </w:pPr>
      <w:r>
        <w:rPr>
          <w:b/>
          <w:bCs/>
        </w:rPr>
        <w:t xml:space="preserve">Optimism and disillusionment cycle repeatedly around the same underlying ideas. </w:t>
      </w:r>
      <w:r>
        <w:t xml:space="preserve">The “paperless office” was declared a probable failure as early as 1982 and is still being actively pursued, in modified form, through document imaging and digital preservation projects three decades later. Expert systems and AI experienced a clear boom (1983–1988), a documented deflation (“What happened to Knowledge Based Systems?”, a 2007 annotation on a 1988 document), and a dramatic third-wave resurgence from 2016 onward. Knowledge Management followed an almost identical boom-and-partial-deflation pattern between 1997 and 2001.</w:t>
      </w:r>
    </w:p>
    <w:p>
      <w:pPr>
        <w:spacing w:after="160"/>
      </w:pPr>
      <w:r>
        <w:rPr>
          <w:b/>
          <w:bCs/>
        </w:rPr>
        <w:t xml:space="preserve">The collection is itself a technology artefact, and a self-referential one. </w:t>
      </w:r>
      <w:r>
        <w:t xml:space="preserve">PAWDOC’s own management progressed from a card-file physical index, through the Paperclip and Fish Document Management Systems, through successive versions of FileMaker Pro (7, 9, 11), through digital preservation projects explicitly designed to keep the collection itself readable, to the eventual export of the index into CSV for AI-assisted analysis — making PAWDOC, in effect, a fifty-year living case study of exactly the technology changes it documents.</w:t>
      </w:r>
    </w:p>
    <w:p>
      <w:pPr>
        <w:spacing w:after="160"/>
      </w:pPr>
      <w:r>
        <w:t xml:space="preserve">Taken together, the ten subsets and this merged synthesis describe an unusually intimate, continuous, first-hand record of the IT revolution: from the earliest electronic alternatives to paper in 1978–1981, through the personal computer, networking, internet, web, mobile, social-media and cloud-computing waves, to the AI resurgence and cybersecurity concerns of the 2020s — observed throughout not as a detached historian but as a practising professional who was, for much of the period, actively building, specifying, teaching and writing about the very changes the collection records.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color w:val="000000"/>
      <w:sz w:val="44"/>
      <w:szCs w:val="44"/>
    </w:rPr>
  </w:style>
  <w:style w:type="paragraph" w:styleId="Heading1">
    <w:name w:val="Heading 1"/>
    <w:basedOn w:val="Normal"/>
    <w:next w:val="Normal"/>
    <w:qFormat/>
    <w:pPr>
      <w:spacing w:after="200" w:before="320"/>
      <w:outlineLvl w:val="0"/>
    </w:pPr>
    <w:rPr>
      <w:rFonts w:ascii="Arial" w:cs="Arial" w:eastAsia="Arial" w:hAnsi="Arial"/>
      <w:b/>
      <w:bCs/>
      <w:color w:val="1F3864"/>
      <w:sz w:val="30"/>
      <w:szCs w:val="30"/>
    </w:rPr>
  </w:style>
  <w:style w:type="paragraph" w:styleId="Heading2">
    <w:name w:val="Heading 2"/>
    <w:basedOn w:val="Normal"/>
    <w:next w:val="Normal"/>
    <w:qFormat/>
    <w:pPr>
      <w:spacing w:after="160" w:before="240"/>
      <w:outlineLvl w:val="1"/>
    </w:pPr>
    <w:rPr>
      <w:rFonts w:ascii="Arial" w:cs="Arial" w:eastAsia="Arial" w:hAnsi="Arial"/>
      <w:b/>
      <w:bCs/>
      <w:color w:val="2E539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2026-06-16T06:27:34.551Z</dcterms:created>
  <dcterms:modified xsi:type="dcterms:W3CDTF">2026-06-16T06:27:34.552Z</dcterms:modified>
</cp:coreProperties>
</file>

<file path=docProps/custom.xml><?xml version="1.0" encoding="utf-8"?>
<Properties xmlns="http://schemas.openxmlformats.org/officeDocument/2006/custom-properties" xmlns:vt="http://schemas.openxmlformats.org/officeDocument/2006/docPropsVTypes"/>
</file>